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6.png" ContentType="image/png"/>
  <Override PartName="/word/media/rId36.png" ContentType="image/png"/>
  <Override PartName="/word/media/rId44.png" ContentType="image/png"/>
  <Override PartName="/word/media/rId41.png" ContentType="image/png"/>
  <Override PartName="/word/media/rId87.png" ContentType="image/png"/>
  <Override PartName="/word/media/rId82.png" ContentType="image/png"/>
  <Override PartName="/word/media/rId81.png" ContentType="image/png"/>
  <Override PartName="/word/media/rId102.png" ContentType="image/png"/>
  <Override PartName="/word/media/rId101.png" ContentType="image/png"/>
  <Override PartName="/word/media/rId85.png" ContentType="image/png"/>
  <Override PartName="/word/media/rId84.png" ContentType="image/png"/>
  <Override PartName="/word/media/rId75.png" ContentType="image/png"/>
  <Override PartName="/word/media/rId98.png" ContentType="image/png"/>
  <Override PartName="/word/media/rId99.png" ContentType="image/png"/>
  <Override PartName="/word/media/rId78.png" ContentType="image/png"/>
  <Override PartName="/word/media/rId68.png" ContentType="image/png"/>
  <Override PartName="/word/media/rId70.png" ContentType="image/png"/>
  <Override PartName="/word/media/rId66.png" ContentType="image/png"/>
  <Override PartName="/word/media/rId64.png" ContentType="image/png"/>
  <Override PartName="/word/media/rId62.png" ContentType="image/png"/>
  <Override PartName="/word/media/rId61.png" ContentType="image/png"/>
  <Override PartName="/word/media/rId73.png" ContentType="image/png"/>
  <Override PartName="/word/media/rId56.png" ContentType="image/png"/>
  <Override PartName="/word/media/rId38.png" ContentType="image/png"/>
  <Override PartName="/word/media/rId59.png" ContentType="image/png"/>
  <Override PartName="/word/media/rId91.png" ContentType="image/png"/>
  <Override PartName="/word/media/rId90.png" ContentType="image/png"/>
  <Override PartName="/word/media/rId93.png" ContentType="image/png"/>
  <Override PartName="/word/media/rId94.png" ContentType="image/png"/>
  <Override PartName="/word/media/rId65.png" ContentType="image/png"/>
  <Override PartName="/word/media/rId96.png" ContentType="image/png"/>
  <Override PartName="/word/media/image30.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1.png" ContentType="image/png"/>
  <Override PartName="/word/media/image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 </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BodyText"/>
      </w:pPr>
      <w:r>
        <w:t xml:space="preserve"> </w:t>
      </w:r>
    </w:p>
    <w:p>
      <w:pPr>
        <w:pStyle w:val="BodyText"/>
      </w:pPr>
      <w:r>
        <w:rPr>
          <w:b/>
        </w:rPr>
        <w:t xml:space="preserve">CGU poster abstract:</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Compact"/>
        <w:numPr>
          <w:numId w:val="1001"/>
          <w:ilvl w:val="0"/>
        </w:numPr>
      </w:pPr>
      <w:r>
        <w:t xml:space="preserve">(max 150 words) - roman numeral TOC</w:t>
      </w:r>
    </w:p>
    <w:p>
      <w:pPr>
        <w:pStyle w:val="Compact"/>
        <w:numPr>
          <w:numId w:val="1001"/>
          <w:ilvl w:val="0"/>
        </w:numPr>
      </w:pPr>
      <w:r>
        <w:t xml:space="preserve">include plain-language summary</w:t>
      </w:r>
    </w:p>
    <w:p>
      <w:pPr>
        <w:pStyle w:val="Heading1"/>
      </w:pPr>
      <w:bookmarkStart w:id="22" w:name="preface"/>
      <w:r>
        <w:t xml:space="preserve">Preface</w:t>
      </w:r>
      <w:bookmarkEnd w:id="22"/>
    </w:p>
    <w:p>
      <w:pPr>
        <w:pStyle w:val="Compact"/>
        <w:numPr>
          <w:numId w:val="1002"/>
          <w:ilvl w:val="0"/>
        </w:numPr>
      </w:pPr>
      <w:r>
        <w:t xml:space="preserve">roman numeral TOC</w:t>
      </w:r>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Compact"/>
        <w:numPr>
          <w:numId w:val="1003"/>
          <w:ilvl w:val="0"/>
        </w:numPr>
      </w:pPr>
      <w:r>
        <w:t xml:space="preserve">TOC follows, then LOT, LOF, List of Illustrations, list of abbreviations</w:t>
      </w:r>
    </w:p>
    <w:p>
      <w:pPr>
        <w:pStyle w:val="FirstParagraph"/>
      </w:pPr>
      <w:r>
        <w:t xml:space="preserve"> </w:t>
      </w:r>
    </w:p>
    <w:p>
      <w:pPr>
        <w:pStyle w:val="BodyText"/>
      </w:pPr>
      <w:r>
        <w:rPr>
          <w:b/>
        </w:rPr>
        <w:t xml:space="preserve">List of Abbreviations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thanks for making me feel welcome on site and including me daily field operations.</w:t>
      </w:r>
    </w:p>
    <w:p>
      <w:pPr>
        <w:pStyle w:val="BodyText"/>
      </w:pPr>
      <w:r>
        <w:t xml:space="preserve"> </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taking me on as a master’s student.</w:t>
      </w:r>
    </w:p>
    <w:p>
      <w:pPr>
        <w:pStyle w:val="BodyText"/>
      </w:pPr>
      <w:r>
        <w:t xml:space="preserve"> </w:t>
      </w:r>
    </w:p>
    <w:p>
      <w:pPr>
        <w:pStyle w:val="BodyText"/>
      </w:pPr>
      <w:r>
        <w:t xml:space="preserve">For help with field installations and streamflow gauging, a big thanks to my friend and former field partner, Stewart Butler, of Bill Floyd’s Coastal Hydrology Research Lab; thanks Stew. Thanks also to Alison Bishop for field assistance during the winter of 2019/2020.</w:t>
      </w:r>
    </w:p>
    <w:p>
      <w:pPr>
        <w:pStyle w:val="BodyText"/>
      </w:pPr>
      <w:r>
        <w:t xml:space="preserve"> </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w:t>
      </w:r>
    </w:p>
    <w:p>
      <w:pPr>
        <w:pStyle w:val="BodyText"/>
      </w:pPr>
      <w:r>
        <w:t xml:space="preserve"> </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 </w:t>
      </w:r>
    </w:p>
    <w:p>
      <w:pPr>
        <w:pStyle w:val="BodyText"/>
      </w:pPr>
      <w:r>
        <w:t xml:space="preserve">To the love of data science: I’m grateful for Jenny Byran’s online resources,</w:t>
      </w:r>
      <w:r>
        <w:t xml:space="preserve"> </w:t>
      </w:r>
      <w:hyperlink r:id="rId26">
        <w:r>
          <w:rPr>
            <w:rStyle w:val="Hyperlink"/>
          </w:rPr>
          <w:t xml:space="preserve">StackOverflow</w:t>
        </w:r>
      </w:hyperlink>
      <w:r>
        <w:t xml:space="preserve"> </w:t>
      </w:r>
      <w:r>
        <w:t xml:space="preserve">for the solution to so many coding challenges.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Heading2"/>
      </w:pPr>
      <w:bookmarkStart w:id="27" w:name="introduction"/>
      <w:r>
        <w:t xml:space="preserve">Introduction</w:t>
      </w:r>
      <w:bookmarkEnd w:id="27"/>
    </w:p>
    <w:p>
      <w:pPr>
        <w:pStyle w:val="Heading3"/>
      </w:pPr>
      <w:bookmarkStart w:id="28" w:name="X950a60ad65bf96ca879ca6f7ac714147c4499d1"/>
      <w:r>
        <w:t xml:space="preserve">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Colour is primarily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3"/>
      </w:pPr>
      <w:bookmarkStart w:id="29" w:name="aqueous-natural-organic-matter"/>
      <w:r>
        <w:t xml:space="preserve">Aqueous natural organic matter</w:t>
      </w:r>
      <w:bookmarkEnd w:id="29"/>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4"/>
      </w:pPr>
      <w:bookmarkStart w:id="31" w:name="X1c8b1846ec8827e81bf11c20cacd4a3ed2cc375"/>
      <w:r>
        <w:t xml:space="preserve">Source water quality considerations Greater Victoria’s water supply areas</w:t>
      </w:r>
      <w:bookmarkEnd w:id="31"/>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3"/>
      </w:pPr>
      <w:bookmarkStart w:id="32" w:name="research-objectives"/>
      <w:r>
        <w:t xml:space="preserve">Research Objectives</w:t>
      </w:r>
      <w:bookmarkEnd w:id="32"/>
    </w:p>
    <w:p>
      <w:pPr>
        <w:pStyle w:val="FirstParagraph"/>
      </w:pPr>
      <w:r>
        <w:t xml:space="preserve">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3" w:name="methods"/>
      <w:r>
        <w:t xml:space="preserve">Methods</w:t>
      </w:r>
      <w:bookmarkEnd w:id="33"/>
    </w:p>
    <w:p>
      <w:pPr>
        <w:pStyle w:val="Heading3"/>
      </w:pPr>
      <w:bookmarkStart w:id="34" w:name="study-site-leech-river-watershed"/>
      <w:r>
        <w:t xml:space="preserve">Study Site: Leech River Watershed</w:t>
      </w:r>
      <w:bookmarkEnd w:id="34"/>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w:t>
      </w:r>
      <w:r>
        <w:t xml:space="preserve"> </w:t>
      </w:r>
      <w:r>
        <w:t xml:space="preserve">1</w:t>
      </w:r>
      <w:r>
        <w:t xml:space="preserve"> </w:t>
      </w:r>
      <w:r>
        <w:t xml:space="preserve">shows the Leech and Sooke Water Supply areas in context to their location on Vancouver Island, BC, Canada.</w:t>
      </w:r>
    </w:p>
    <w:p>
      <w:pPr>
        <w:pStyle w:val="BodyText"/>
      </w:pPr>
      <w:r>
        <w:t xml:space="preserve"> </w:t>
      </w:r>
    </w:p>
    <w:p>
      <w:pPr>
        <w:pStyle w:val="BodyText"/>
      </w:pPr>
      <w:r>
        <w:rPr>
          <w:i/>
        </w:rPr>
        <w:t xml:space="preserve">Note on geospatial data, tools and mapping</w:t>
      </w:r>
    </w:p>
    <w:p>
      <w:pPr>
        <w:pStyle w:val="BodyText"/>
      </w:pPr>
      <w:r>
        <w:t xml:space="preserve">Geospatial data were collected from GeoGratis, the Government of Canada Geospatial Data Extraction tool (geogratis.gc.ca) with supplemental data provided by the CRD.</w:t>
      </w:r>
      <w:r>
        <w:rPr>
          <w:rStyle w:val="FootnoteReference"/>
        </w:rPr>
        <w:footnoteReference w:id="35"/>
      </w:r>
    </w:p>
    <w:p>
      <w:pPr>
        <w:pStyle w:val="BodyText"/>
      </w:pPr>
      <w:r>
        <w:t xml:space="preserve">Maps were created using QGIS (version 3.12.1, Bucuresti; www.qgis.org), and catchment boundaries were delineated using the QGIS GRASS plugin (GRASS GIS 7, version 2).</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6"/>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Bottom image of Canada and inset of Vancouver Island were screenshots from the app</w:t>
      </w:r>
      <w:r>
        <w:rPr>
          <w:i/>
        </w:rPr>
        <w:t xml:space="preserve"> </w:t>
      </w:r>
      <w:r>
        <w:rPr>
          <w:i/>
        </w:rPr>
        <w:t xml:space="preserve">‘</w:t>
      </w:r>
      <w:r>
        <w:rPr>
          <w:i/>
        </w:rPr>
        <w:t xml:space="preserve">Windy</w:t>
      </w:r>
      <w:r>
        <w:rPr>
          <w:i/>
        </w:rPr>
        <w:t xml:space="preserve">’</w:t>
      </w:r>
      <w:r>
        <w:rPr>
          <w:i/>
        </w:rPr>
        <w:t xml:space="preserve"> </w:t>
      </w:r>
      <w:r>
        <w:rPr>
          <w:i/>
        </w:rPr>
        <w:t xml:space="preserve">(Prague, Czechia, EU); top map of the water supply areas was generated in QGIS (version 3.12.1 - Bucuresti)</w:t>
      </w:r>
    </w:p>
    <w:p>
      <w:pPr>
        <w:pStyle w:val="BodyText"/>
      </w:pP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4"/>
      </w:pPr>
      <w:bookmarkStart w:id="37" w:name="climate-weather-forests"/>
      <w:r>
        <w:t xml:space="preserve">Climate, Weather, Forests</w:t>
      </w:r>
      <w:bookmarkEnd w:id="37"/>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January 2018 to March 2020. Rainfall and air temperature from each of the two LWSA weather stations is shown in Figure</w:t>
      </w:r>
      <w:r>
        <w:t xml:space="preserve"> </w:t>
      </w:r>
      <w:r>
        <w:t xml:space="preserve">2</w:t>
      </w:r>
      <w:r>
        <w:t xml:space="preserve">. Slightly more precipitation was recorded at Martin’s Gulch than Chris Creek station. Annual weather data from each of the LWSA weather stations are summarized in Table</w:t>
      </w:r>
      <w:r>
        <w:t xml:space="preserve"> </w:t>
      </w:r>
      <w:r>
        <w:t xml:space="preserve">1</w:t>
      </w:r>
      <w:r>
        <w:t xml:space="preserve">.</w:t>
      </w:r>
    </w:p>
    <w:p>
      <w:pPr>
        <w:pStyle w:val="BodyText"/>
      </w:pPr>
      <w:r>
        <w:t xml:space="preserve"> </w:t>
      </w:r>
    </w:p>
    <w:p>
      <w:pPr>
        <w:pStyle w:val="CaptionedFigure"/>
      </w:pPr>
      <w:r>
        <w:drawing>
          <wp:inline>
            <wp:extent cx="5504749" cy="4587290"/>
            <wp:effectExtent b="0" l="0" r="0" t="0"/>
            <wp:docPr descr="Figure 2: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3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1:</w:t>
      </w:r>
      <w:r>
        <w:t xml:space="preserve"> </w:t>
      </w:r>
      <w:r>
        <w:rPr>
          <w:i/>
        </w:rPr>
        <w:t xml:space="preserve">Two years of weather from CRD stations in Leech water supply area</w:t>
      </w:r>
    </w:p>
    <w:tbl>
      <w:tblPr>
        <w:tblStyle w:val="Table"/>
        <w:tblW w:type="pct" w:w="0.0"/>
        <w:tblLook w:firstRow="1"/>
        <w:tblCaption w:val="Table 1: Two years of weather from CRD stations in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1967.83</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2042.35</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1428.37</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1486.66</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837.25</w:t>
            </w:r>
          </w:p>
        </w:tc>
        <w:tc>
          <w:p>
            <w:pPr>
              <w:pStyle w:val="Compact"/>
              <w:jc w:val="right"/>
            </w:pPr>
            <w:r>
              <w:t xml:space="preserve">3.09</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930.37</w:t>
            </w:r>
          </w:p>
        </w:tc>
        <w:tc>
          <w:p>
            <w:pPr>
              <w:pStyle w:val="Compact"/>
              <w:jc w:val="right"/>
            </w:pPr>
            <w:r>
              <w:t xml:space="preserve">3.01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3"/>
      </w:pPr>
      <w:bookmarkStart w:id="39" w:name="river-sampling"/>
      <w:r>
        <w:t xml:space="preserve">River sampling</w:t>
      </w:r>
      <w:bookmarkEnd w:id="39"/>
    </w:p>
    <w:p>
      <w:pPr>
        <w:pStyle w:val="FirstParagraph"/>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446 total samples (Table</w:t>
      </w:r>
      <w:r>
        <w:t xml:space="preserve"> </w:t>
      </w:r>
      <w:r>
        <w:t xml:space="preserve">2</w:t>
      </w:r>
      <w:r>
        <w:t xml:space="preserve">)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w:t>
      </w:r>
    </w:p>
    <w:p>
      <w:pPr>
        <w:pStyle w:val="BodyText"/>
      </w:pPr>
      <w:r>
        <w:t xml:space="preserve"> </w:t>
      </w:r>
    </w:p>
    <w:p>
      <w:pPr>
        <w:pStyle w:val="TableCaption"/>
      </w:pPr>
      <w:r>
        <w:t xml:space="preserve">Table 2:</w:t>
      </w:r>
      <w:r>
        <w:t xml:space="preserve"> </w:t>
      </w:r>
      <w:r>
        <w:rPr>
          <w:i/>
        </w:rPr>
        <w:t xml:space="preserve">Summary of samples collected</w:t>
      </w:r>
    </w:p>
    <w:tbl>
      <w:tblPr>
        <w:tblStyle w:val="Table"/>
        <w:tblW w:type="pct" w:w="0.0"/>
        <w:tblLook w:firstRow="1"/>
        <w:tblCaption w:val="Table 2: Summary of samples collected"/>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64</w:t>
            </w:r>
          </w:p>
        </w:tc>
      </w:tr>
      <w:tr>
        <w:tc>
          <w:p>
            <w:pPr>
              <w:pStyle w:val="Compact"/>
              <w:jc w:val="left"/>
            </w:pPr>
            <w:r>
              <w:t xml:space="preserve">opportunistic grab samples</w:t>
            </w:r>
          </w:p>
        </w:tc>
        <w:tc>
          <w:p>
            <w:pPr>
              <w:pStyle w:val="Compact"/>
              <w:jc w:val="right"/>
            </w:pPr>
            <w:r>
              <w:t xml:space="preserve">14</w:t>
            </w:r>
          </w:p>
        </w:tc>
      </w:tr>
      <w:tr>
        <w:tc>
          <w:p>
            <w:pPr>
              <w:pStyle w:val="Compact"/>
              <w:jc w:val="left"/>
            </w:pPr>
            <w:r>
              <w:t xml:space="preserve">sub-basin synoptic grab samples</w:t>
            </w:r>
          </w:p>
        </w:tc>
        <w:tc>
          <w:p>
            <w:pPr>
              <w:pStyle w:val="Compact"/>
              <w:jc w:val="right"/>
            </w:pPr>
            <w:r>
              <w:t xml:space="preserve">165</w:t>
            </w:r>
          </w:p>
        </w:tc>
      </w:tr>
      <w:tr>
        <w:tc>
          <w:p>
            <w:pPr>
              <w:pStyle w:val="Compact"/>
              <w:jc w:val="left"/>
            </w:pPr>
            <w:r>
              <w:t xml:space="preserve">sub-basin rack samples</w:t>
            </w:r>
          </w:p>
        </w:tc>
        <w:tc>
          <w:p>
            <w:pPr>
              <w:pStyle w:val="Compact"/>
              <w:jc w:val="right"/>
            </w:pPr>
            <w:r>
              <w:t xml:space="preserve">203</w:t>
            </w:r>
          </w:p>
        </w:tc>
      </w:tr>
      <w:tr>
        <w:tc>
          <w:p>
            <w:pPr>
              <w:pStyle w:val="Compact"/>
              <w:jc w:val="left"/>
            </w:pPr>
            <w:r>
              <w:t xml:space="preserve">total</w:t>
            </w:r>
          </w:p>
        </w:tc>
        <w:tc>
          <w:p>
            <w:pPr>
              <w:pStyle w:val="Compact"/>
              <w:jc w:val="right"/>
            </w:pPr>
            <w:r>
              <w:t xml:space="preserve">446</w:t>
            </w:r>
          </w:p>
        </w:tc>
      </w:tr>
    </w:tbl>
    <w:p>
      <w:pPr>
        <w:pStyle w:val="BodyText"/>
      </w:pPr>
      <w:r>
        <w:t xml:space="preserve"> </w:t>
      </w:r>
    </w:p>
    <w:p>
      <w:pPr>
        <w:pStyle w:val="Heading4"/>
      </w:pPr>
      <w:bookmarkStart w:id="40" w:name="synoptic-sampling"/>
      <w:r>
        <w:t xml:space="preserve">Synoptic sampling</w:t>
      </w:r>
      <w:bookmarkEnd w:id="40"/>
    </w:p>
    <w:p>
      <w:pPr>
        <w:pStyle w:val="FirstParagraph"/>
      </w:pPr>
      <w:r>
        <w:t xml:space="preserve"> </w:t>
      </w:r>
    </w:p>
    <w:p>
      <w:pPr>
        <w:pStyle w:val="CaptionedFigure"/>
      </w:pPr>
      <w:r>
        <w:drawing>
          <wp:inline>
            <wp:extent cx="5943600" cy="4153212"/>
            <wp:effectExtent b="0" l="0" r="0" t="0"/>
            <wp:docPr descr="Figure 3:  Synoptic sampling sites across the Greater Victoria Water Supply Areas (made with QGIS, version 3.12.1 - Bucuresti)." title="" id="1" name="Picture"/>
            <a:graphic>
              <a:graphicData uri="http://schemas.openxmlformats.org/drawingml/2006/picture">
                <pic:pic>
                  <pic:nvPicPr>
                    <pic:cNvPr descr="R-inputs_UBC-forWater-MSc_HMc/images/thesis_map_synoptic-sampling.png" id="0" name="Picture"/>
                    <pic:cNvPicPr>
                      <a:picLocks noChangeArrowheads="1" noChangeAspect="1"/>
                    </pic:cNvPicPr>
                  </pic:nvPicPr>
                  <pic:blipFill>
                    <a:blip r:embed="rId41"/>
                    <a:stretch>
                      <a:fillRect/>
                    </a:stretch>
                  </pic:blipFill>
                  <pic:spPr bwMode="auto">
                    <a:xfrm>
                      <a:off x="0" y="0"/>
                      <a:ext cx="5943600" cy="4153212"/>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Synoptic sampling sites across the Greater Victoria Water Supply Areas (made with QGIS, version 3.12.1 - Bucuresti).</w:t>
      </w:r>
    </w:p>
    <w:p>
      <w:pPr>
        <w:pStyle w:val="BodyText"/>
      </w:pPr>
      <w:r>
        <w:t xml:space="preserve"> </w:t>
      </w:r>
    </w:p>
    <w:p>
      <w:pPr>
        <w:pStyle w:val="BodyText"/>
      </w:pPr>
      <w:r>
        <w:t xml:space="preserve">Thirteen sites were selected for synoptic water sampling and water quality analysis. Results from synoptic sampling helped to inform spatiotemporal patterns in water quality. Synoptic samples were collected bi-weekly to monthly from October 2018 to February 2020; a total of 206 unique synoptic samples were collected (229 including replicates). Figure</w:t>
      </w:r>
      <w:r>
        <w:t xml:space="preserve"> </w:t>
      </w:r>
      <w:r>
        <w:t xml:space="preserve">3</w:t>
      </w:r>
      <w:r>
        <w:t xml:space="preserve"> </w:t>
      </w:r>
      <w:r>
        <w:t xml:space="preserve">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pPr>
        <w:pStyle w:val="Heading5"/>
      </w:pPr>
      <w:bookmarkStart w:id="42" w:name="X24917d0bba9c6d0e36e0e7731f1dbb4f79fa6ec"/>
      <w:r>
        <w:t xml:space="preserve">? Collaborative sampling – MARK SUGGESTS MOVING ALL THIS TO APPENDIX</w:t>
      </w:r>
      <w:bookmarkEnd w:id="42"/>
    </w:p>
    <w:p>
      <w:pPr>
        <w:pStyle w:val="FirstParagraph"/>
      </w:pPr>
      <w:r>
        <w:rPr>
          <w:b/>
        </w:rPr>
        <w:t xml:space="preserve">forWater-coordinated treatability analyses 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04"/>
          <w:ilvl w:val="0"/>
        </w:numPr>
      </w:pPr>
      <w:r>
        <w:t xml:space="preserve">Leech River at the future point of diversion (near Leech Tunnel inlet)</w:t>
      </w:r>
    </w:p>
    <w:p>
      <w:pPr>
        <w:pStyle w:val="Compact"/>
        <w:numPr>
          <w:numId w:val="1004"/>
          <w:ilvl w:val="0"/>
        </w:numPr>
      </w:pPr>
      <w:r>
        <w:t xml:space="preserve">Deception Reservoir, downstream from Deception Gulch (outlet of Leech Tunnel)</w:t>
      </w:r>
    </w:p>
    <w:p>
      <w:pPr>
        <w:pStyle w:val="Compact"/>
        <w:numPr>
          <w:numId w:val="1004"/>
          <w:ilvl w:val="0"/>
        </w:numPr>
      </w:pPr>
      <w:r>
        <w:t xml:space="preserve">Rithet Creek (main tributary to Sooke Reservoir)</w:t>
      </w:r>
    </w:p>
    <w:p>
      <w:pPr>
        <w:pStyle w:val="Compact"/>
        <w:numPr>
          <w:numId w:val="100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rPr>
          <w:b/>
        </w:rPr>
        <w:t xml:space="preserve">Sampling for Metals</w:t>
      </w:r>
    </w:p>
    <w:p>
      <w:pPr>
        <w:pStyle w:val="BodyText"/>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4"/>
      </w:pPr>
      <w:bookmarkStart w:id="43" w:name="X2704c1b08120cc90f9d22606297f60edabf5753"/>
      <w:r>
        <w:t xml:space="preserve">Sampling across nested catchments of the Leech watershed</w:t>
      </w:r>
      <w:bookmarkEnd w:id="43"/>
    </w:p>
    <w:p>
      <w:pPr>
        <w:pStyle w:val="FirstParagraph"/>
      </w:pPr>
      <w:r>
        <w:t xml:space="preserve">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w:t>
      </w:r>
      <w:r>
        <w:t xml:space="preserve"> </w:t>
      </w:r>
      <w:r>
        <w:t xml:space="preserve">4</w:t>
      </w:r>
      <w:r>
        <w:t xml:space="preserve"> </w:t>
      </w:r>
      <w:r>
        <w:t xml:space="preserve">shows a map of the six monitoring sites which represent important portions of the Leech River system: two headwater streams (Weeks and Chris Creek), the head of Leech River (below the confluence of the two headwater streams), two mainstem rivers that feed the Leech (Cragg Creek and West Leech) and the Leech River at the Tunnel.</w:t>
      </w:r>
    </w:p>
    <w:p>
      <w:pPr>
        <w:pStyle w:val="BodyText"/>
      </w:pPr>
      <w:r>
        <w:t xml:space="preserve"> </w:t>
      </w:r>
    </w:p>
    <w:p>
      <w:pPr>
        <w:pStyle w:val="CaptionedFigure"/>
      </w:pPr>
      <w:r>
        <w:drawing>
          <wp:inline>
            <wp:extent cx="5943600" cy="5976414"/>
            <wp:effectExtent b="0" l="0" r="0" t="0"/>
            <wp:docPr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44"/>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rPr>
          <w:i/>
        </w:rPr>
        <w:t xml:space="preserve">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w:t>
      </w:r>
    </w:p>
    <w:p>
      <w:pPr>
        <w:pStyle w:val="BodyText"/>
      </w:pPr>
      <w:r>
        <w:t xml:space="preserve"> </w:t>
      </w:r>
    </w:p>
    <w:p>
      <w:pPr>
        <w:pStyle w:val="BodyText"/>
      </w:pPr>
      <w:r>
        <w:t xml:space="preserve">Table</w:t>
      </w:r>
      <w:r>
        <w:t xml:space="preserve"> </w:t>
      </w:r>
      <w:r>
        <w:t xml:space="preserve">3</w:t>
      </w:r>
      <w:r>
        <w:t xml:space="preserve"> </w:t>
      </w:r>
      <w:r>
        <w:t xml:space="preserve">includes watershed characteristic data for each sub-basin. Weeks creek (site-1), had the greatest proportion of wetland and open water compared to the other sub-basins. ChrisCrk (site-2) and CraggCrk (site-4) had no metasedimentary parent material (Argillite-Metagraywacke or Metagraywacke), and CraggCrk was the only sub-basin with predominantly metamorphic parent material (Wark-Gneiss, 78%). The sub-basin of WestLeech (site-5) was the site that did not have Wark-Gneiss nor Chert-Argillite-Volcanic groups as parent materials, and was the only sub-basin of the Metchosin igneous complex (16% Methchosin-volcanics). Like Weeks basin (site-1), which also drains from the West, WestLeech is predominantly underlain by Argillite-Metagreywacke (metasedimentary).</w:t>
      </w:r>
    </w:p>
    <w:p>
      <w:pPr>
        <w:pStyle w:val="BodyText"/>
      </w:pPr>
      <w:r>
        <w:t xml:space="preserve"> </w:t>
      </w:r>
    </w:p>
    <w:p>
      <w:pPr>
        <w:pStyle w:val="TableCaption"/>
      </w:pPr>
      <w:r>
        <w:t xml:space="preserve">Table 3:</w:t>
      </w:r>
      <w:r>
        <w:t xml:space="preserve"> </w:t>
      </w:r>
      <w:r>
        <w:rPr>
          <w:i/>
        </w:rPr>
        <w:t xml:space="preserve">Watershed characteristics summary for study sites</w:t>
      </w:r>
    </w:p>
    <w:tbl>
      <w:tblPr>
        <w:tblStyle w:val="Table"/>
        <w:tblW w:type="pct" w:w="0.0"/>
        <w:tblLook w:firstRow="1"/>
        <w:tblCaption w:val="Table 3: Watershed characteristics summary for study sites"/>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48.5070</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w:t>
            </w:r>
          </w:p>
        </w:tc>
        <w:tc>
          <w:p>
            <w:pPr>
              <w:pStyle w:val="Compact"/>
              <w:jc w:val="left"/>
            </w:pPr>
            <w:r>
              <w:t xml:space="preserve">94.5</w:t>
            </w:r>
          </w:p>
        </w:tc>
        <w:tc>
          <w:p>
            <w:pPr>
              <w:pStyle w:val="Compact"/>
              <w:jc w:val="left"/>
            </w:pPr>
            <w:r>
              <w:t xml:space="preserve">99.0</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Standard.dev. slope (degrees)</w:t>
            </w:r>
          </w:p>
        </w:tc>
        <w:tc>
          <w:p>
            <w:pPr>
              <w:pStyle w:val="Compact"/>
              <w:jc w:val="left"/>
            </w:pPr>
            <w:r>
              <w:t xml:space="preserve">7.0</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Min. slope (degrees)</w:t>
            </w:r>
          </w:p>
        </w:tc>
        <w:tc>
          <w:p>
            <w:pPr>
              <w:pStyle w:val="Compact"/>
              <w:jc w:val="left"/>
            </w:pPr>
            <w:r>
              <w:t xml:space="preserve">8.0</w:t>
            </w:r>
          </w:p>
        </w:tc>
        <w:tc>
          <w:p>
            <w:pPr>
              <w:pStyle w:val="Compact"/>
              <w:jc w:val="left"/>
            </w:pPr>
            <w:r>
              <w:t xml:space="preserve">10.0</w:t>
            </w:r>
          </w:p>
        </w:tc>
        <w:tc>
          <w:p>
            <w:pPr>
              <w:pStyle w:val="Compact"/>
              <w:jc w:val="left"/>
            </w:pPr>
            <w:r>
              <w:t xml:space="preserve">9.0</w:t>
            </w:r>
          </w:p>
        </w:tc>
        <w:tc>
          <w:p>
            <w:pPr>
              <w:pStyle w:val="Compact"/>
              <w:jc w:val="left"/>
            </w:pPr>
            <w:r>
              <w:t xml:space="preserve">9.0</w:t>
            </w:r>
          </w:p>
        </w:tc>
        <w:tc>
          <w:p>
            <w:pPr>
              <w:pStyle w:val="Compact"/>
              <w:jc w:val="left"/>
            </w:pPr>
            <w:r>
              <w:t xml:space="preserve">9.0</w:t>
            </w:r>
          </w:p>
        </w:tc>
        <w:tc>
          <w:p>
            <w:pPr>
              <w:pStyle w:val="Compact"/>
              <w:jc w:val="left"/>
            </w:pPr>
            <w:r>
              <w:t xml:space="preserve">10.0</w:t>
            </w:r>
          </w:p>
        </w:tc>
      </w:tr>
      <w:tr>
        <w:tc>
          <w:p>
            <w:pPr>
              <w:pStyle w:val="Compact"/>
              <w:jc w:val="left"/>
            </w:pPr>
            <w:r>
              <w:t xml:space="preserve">Max. slope (degrees)</w:t>
            </w:r>
          </w:p>
        </w:tc>
        <w:tc>
          <w:p>
            <w:pPr>
              <w:pStyle w:val="Compact"/>
              <w:jc w:val="left"/>
            </w:pPr>
            <w:r>
              <w:t xml:space="preserve">44.0</w:t>
            </w:r>
          </w:p>
        </w:tc>
        <w:tc>
          <w:p>
            <w:pPr>
              <w:pStyle w:val="Compact"/>
              <w:jc w:val="left"/>
            </w:pPr>
            <w:r>
              <w:t xml:space="preserve">38.0</w:t>
            </w:r>
          </w:p>
        </w:tc>
        <w:tc>
          <w:p>
            <w:pPr>
              <w:pStyle w:val="Compact"/>
              <w:jc w:val="left"/>
            </w:pPr>
            <w:r>
              <w:t xml:space="preserve">50.0</w:t>
            </w:r>
          </w:p>
        </w:tc>
        <w:tc>
          <w:p>
            <w:pPr>
              <w:pStyle w:val="Compact"/>
              <w:jc w:val="left"/>
            </w:pPr>
            <w:r>
              <w:t xml:space="preserve">40.0</w:t>
            </w:r>
          </w:p>
        </w:tc>
        <w:tc>
          <w:p>
            <w:pPr>
              <w:pStyle w:val="Compact"/>
              <w:jc w:val="left"/>
            </w:pPr>
            <w:r>
              <w:t xml:space="preserve">56.0</w:t>
            </w:r>
          </w:p>
        </w:tc>
        <w:tc>
          <w:p>
            <w:pPr>
              <w:pStyle w:val="Compact"/>
              <w:jc w:val="left"/>
            </w:pPr>
            <w:r>
              <w:t xml:space="preserve">61.0</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0.0</w:t>
            </w:r>
          </w:p>
        </w:tc>
        <w:tc>
          <w:p>
            <w:pPr>
              <w:pStyle w:val="Compact"/>
              <w:jc w:val="left"/>
            </w:pPr>
            <w:r>
              <w:t xml:space="preserve">42.1</w:t>
            </w:r>
          </w:p>
        </w:tc>
        <w:tc>
          <w:p>
            <w:pPr>
              <w:pStyle w:val="Compact"/>
              <w:jc w:val="left"/>
            </w:pPr>
            <w:r>
              <w:t xml:space="preserve">0.0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16.0</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0.7</w:t>
            </w:r>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3.0</w:t>
            </w:r>
          </w:p>
        </w:tc>
        <w:tc>
          <w:p>
            <w:pPr>
              <w:pStyle w:val="Compact"/>
              <w:jc w:val="left"/>
            </w:pPr>
            <w:r>
              <w:t xml:space="preserve">9.6</w:t>
            </w:r>
          </w:p>
        </w:tc>
        <w:tc>
          <w:p>
            <w:pPr>
              <w:pStyle w:val="Compact"/>
              <w:jc w:val="left"/>
            </w:pPr>
            <w:r>
              <w:t xml:space="preserve">8.7</w:t>
            </w:r>
          </w:p>
        </w:tc>
        <w:tc>
          <w:p>
            <w:pPr>
              <w:pStyle w:val="Compact"/>
              <w:jc w:val="left"/>
            </w:pPr>
            <w:r>
              <w:t xml:space="preserve">3.0</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5"/>
      </w:pPr>
      <w:bookmarkStart w:id="45" w:name="installations"/>
      <w:r>
        <w:t xml:space="preserve">Installations</w:t>
      </w:r>
      <w:bookmarkEnd w:id="45"/>
    </w:p>
    <w:p>
      <w:pPr>
        <w:pStyle w:val="FirstParagraph"/>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(Figure</w:t>
      </w:r>
      <w:r>
        <w:t xml:space="preserve"> </w:t>
      </w:r>
      <w:r>
        <w:t xml:space="preserve">5</w:t>
      </w:r>
      <w:r>
        <w:t xml:space="preserve">). By combining the height at which each siphon bottle filled with observed stage from the stilling-well tape and level-logger data, the date and time for each rising-stage sample collection was determined.</w:t>
      </w:r>
    </w:p>
    <w:p>
      <w:pPr>
        <w:pStyle w:val="BodyText"/>
      </w:pPr>
      <w:r>
        <w:t xml:space="preserve"> </w:t>
      </w:r>
    </w:p>
    <w:p>
      <w:pPr>
        <w:pStyle w:val="CaptionedFigure"/>
      </w:pPr>
      <w:r>
        <w:drawing>
          <wp:inline>
            <wp:extent cx="2645009" cy="5296155"/>
            <wp:effectExtent b="0" l="0" r="0" t="0"/>
            <wp:docPr descr="Figure 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6"/>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6"/>
      </w:pPr>
      <w:bookmarkStart w:id="47" w:name="X062d74c3ada921e0d0fa44e148d173c7c7c541a"/>
      <w:r>
        <w:t xml:space="preserve">Siphon sampler assumptions: vertical rack sampling QA/QC</w:t>
      </w:r>
      <w:bookmarkEnd w:id="47"/>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pPr>
        <w:pStyle w:val="Heading6"/>
      </w:pPr>
      <w:bookmarkStart w:id="48" w:name="X570b980af7918f06222fa032f7c5360ed2f0564"/>
      <w:r>
        <w:t xml:space="preserve">Sample hold-times and temperatures: vertical rack sampling QA/QC</w:t>
      </w:r>
      <w:bookmarkEnd w:id="48"/>
    </w:p>
    <w:p>
      <w:pPr>
        <w:pStyle w:val="FirstParagraph"/>
      </w:pPr>
      <w:r>
        <w:t xml:space="preserve">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pPr>
        <w:pStyle w:val="BodyText"/>
      </w:pPr>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pPr>
        <w:pStyle w:val="Heading3"/>
      </w:pPr>
      <w:bookmarkStart w:id="49" w:name="analytical-techniques-data"/>
      <w:r>
        <w:t xml:space="preserve">Analytical techniques &amp; data</w:t>
      </w:r>
      <w:bookmarkEnd w:id="49"/>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pPr>
        <w:pStyle w:val="Heading4"/>
      </w:pPr>
      <w:bookmarkStart w:id="50" w:name="X11d4bdebbabfc52989182cb9a32e289da31c756"/>
      <w:r>
        <w:t xml:space="preserve">Dissolved organic carbon (DOC) concentration and characterization</w:t>
      </w:r>
      <w:bookmarkEnd w:id="50"/>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w:t>
      </w:r>
      <w:r>
        <w:rPr>
          <w:rStyle w:val="FootnoteReference"/>
        </w:rPr>
        <w:footnoteReference w:id="51"/>
      </w:r>
      <w:r>
        <w:t xml:space="preserve"> </w:t>
      </w:r>
      <w:r>
        <w:t xml:space="preserve">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 </w:t>
      </w:r>
    </w:p>
    <w:p>
      <w:pPr>
        <w:pStyle w:val="BodyText"/>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5"/>
      </w:pPr>
      <w:bookmarkStart w:id="52" w:name="suva254"/>
      <w:r>
        <w:t xml:space="preserve">SUVA</w:t>
      </w:r>
      <w:r>
        <w:rPr>
          <w:vertAlign w:val="subscript"/>
        </w:rPr>
        <w:t xml:space="preserve">254</w:t>
      </w:r>
      <w:bookmarkEnd w:id="52"/>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5"/>
      </w:pPr>
      <w:bookmarkStart w:id="53" w:name="spectral-indices-of-nom-character"/>
      <w:r>
        <w:t xml:space="preserve">Spectral indices of NOM character</w:t>
      </w:r>
      <w:bookmarkEnd w:id="53"/>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2"/>
      </w:pPr>
      <w:bookmarkStart w:id="54" w:name="results"/>
      <w:r>
        <w:t xml:space="preserve">Results</w:t>
      </w:r>
      <w:bookmarkEnd w:id="54"/>
    </w:p>
    <w:p>
      <w:pPr>
        <w:pStyle w:val="FirstParagraph"/>
      </w:pPr>
      <w:r>
        <w:t xml:space="preserve">The primary objectives of this project were to characterize the range of hydrochemical dynamics and synchrony during rainfall response among sub-basins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 near-simultaneously at multiple locations across the watershed. DOC concentration trends in stormflow were indicative of whether aqueous DOM was supply-limited or governed by hydrologic forcing. The data collected were used to elucidate spatiotemporal synchrony among sub-catchments.</w:t>
      </w:r>
    </w:p>
    <w:p>
      <w:pPr>
        <w:pStyle w:val="Heading3"/>
      </w:pPr>
      <w:bookmarkStart w:id="55" w:name="Xf03249ddafa1d2a683b9220335a3b696c05a3f3"/>
      <w:r>
        <w:t xml:space="preserve">Weather: precipitation and temperature from CRD weather stations</w:t>
      </w:r>
      <w:bookmarkEnd w:id="55"/>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6</w:t>
      </w:r>
      <w:r>
        <w:t xml:space="preserve">, with the study period highlighted.</w:t>
      </w:r>
    </w:p>
    <w:p>
      <w:pPr>
        <w:pStyle w:val="BodyText"/>
      </w:pPr>
      <w:r>
        <w:t xml:space="preserve"> </w:t>
      </w:r>
    </w:p>
    <w:p>
      <w:pPr>
        <w:pStyle w:val="BodyText"/>
      </w:pPr>
      <w:r>
        <w:drawing>
          <wp:inline>
            <wp:extent cx="5504749" cy="5504749"/>
            <wp:effectExtent b="0" l="0" r="0" t="0"/>
            <wp:docPr descr="Figure 6: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6"/>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Table</w:t>
      </w:r>
      <w:r>
        <w:t xml:space="preserve"> </w:t>
      </w:r>
      <w:r>
        <w:t xml:space="preserve">4</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5.3.1.0.1</w:t>
      </w:r>
      <w:r>
        <w:t xml:space="preserve">). Mean LWSA temperatures were compared to temperatures recorded at each installation site (section</w:t>
      </w:r>
      <w:r>
        <w:t xml:space="preserve"> </w:t>
      </w:r>
      <w:r>
        <w:t xml:space="preserve">5.3.1.2</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TableCaption"/>
      </w:pPr>
      <w:r>
        <w:t xml:space="preserve">Table 4:</w:t>
      </w:r>
      <w:r>
        <w:t xml:space="preserve"> </w:t>
      </w:r>
      <w:r>
        <w:rPr>
          <w:i/>
        </w:rPr>
        <w:t xml:space="preserve">Average weather data from CRD stations in Leech water supply area in 2018 and 2019</w:t>
      </w:r>
    </w:p>
    <w:tbl>
      <w:tblPr>
        <w:tblStyle w:val="Table"/>
        <w:tblW w:type="pct" w:w="0.0"/>
        <w:tblLook w:firstRow="1"/>
        <w:tblCaption w:val="Table 4: Average weather data from CRD stations in Leech water supply area in 2018 and 2019"/>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3.09</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3.09</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 &amp; Feb 2020</w:t>
            </w:r>
          </w:p>
        </w:tc>
        <w:tc>
          <w:p>
            <w:pPr>
              <w:pStyle w:val="Compact"/>
              <w:jc w:val="right"/>
            </w:pPr>
            <w:r>
              <w:t xml:space="preserve">883.8</w:t>
            </w:r>
          </w:p>
        </w:tc>
        <w:tc>
          <w:p>
            <w:pPr>
              <w:pStyle w:val="Compact"/>
              <w:jc w:val="right"/>
            </w:pPr>
            <w:r>
              <w:t xml:space="preserve">65.8</w:t>
            </w:r>
          </w:p>
        </w:tc>
        <w:tc>
          <w:p>
            <w:pPr>
              <w:pStyle w:val="Compact"/>
              <w:jc w:val="right"/>
            </w:pPr>
            <w:r>
              <w:t xml:space="preserve">3.09</w:t>
            </w:r>
          </w:p>
        </w:tc>
        <w:tc>
          <w:p>
            <w:pPr>
              <w:pStyle w:val="Compact"/>
              <w:jc w:val="right"/>
            </w:pPr>
            <w:r>
              <w:t xml:space="preserve">1.90</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5"/>
      </w:pPr>
      <w:bookmarkStart w:id="57" w:name="events"/>
      <w:r>
        <w:t xml:space="preserve">Rain events</w:t>
      </w:r>
      <w:bookmarkEnd w:id="57"/>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5</w:t>
      </w:r>
      <w:r>
        <w:t xml:space="preserve"> </w:t>
      </w:r>
      <w:r>
        <w:t xml:space="preserve">summarizes the eighteen major rain events that occurred during the study period (2018-10-23 to 2020-02-20). For each calender year in the study period, major rain events’ minimum and maximum values of depth, duration and intensity were identified and are summarized in the subsequent table, Table</w:t>
      </w:r>
      <w:r>
        <w:t xml:space="preserve"> </w:t>
      </w:r>
      <w:r>
        <w:t xml:space="preserve">6</w:t>
      </w:r>
      <w:r>
        <w:t xml:space="preserve">.</w:t>
      </w:r>
    </w:p>
    <w:p>
      <w:pPr>
        <w:pStyle w:val="BodyText"/>
      </w:pPr>
      <w:r>
        <w:t xml:space="preserve"> </w:t>
      </w:r>
    </w:p>
    <w:p>
      <w:pPr>
        <w:pStyle w:val="TableCaption"/>
      </w:pPr>
      <w:r>
        <w:t xml:space="preserve">Table 5:</w:t>
      </w:r>
      <w:r>
        <w:t xml:space="preserve"> </w:t>
      </w:r>
      <w:r>
        <w:rPr>
          <w:i/>
        </w:rPr>
        <w:t xml:space="preserve">Rain events defined by a threshold of 50mm with 14-hour inter-event period</w:t>
      </w:r>
    </w:p>
    <w:tbl>
      <w:tblPr>
        <w:tblStyle w:val="Table"/>
        <w:tblW w:type="pct" w:w="0.0"/>
        <w:tblLook w:firstRow="1"/>
        <w:tblCaption w:val="Table 5: Rain events defined by a threshold of 50mm with 14-hour inter-event period"/>
      </w:tblPr>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2.4</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TableCaption"/>
      </w:pPr>
      <w:r>
        <w:t xml:space="preserve">Table 6:</w:t>
      </w:r>
      <w:r>
        <w:t xml:space="preserve"> </w:t>
      </w:r>
      <w:r>
        <w:rPr>
          <w:i/>
        </w:rPr>
        <w:t xml:space="preserve">Minimum and maximum rain event values</w:t>
      </w:r>
      <w:r>
        <w:rPr>
          <w:i/>
        </w:rPr>
        <w:t xml:space="preserve"> </w:t>
      </w:r>
    </w:p>
    <w:tbl>
      <w:tblPr>
        <w:tblStyle w:val="Table"/>
        <w:tblW w:type="pct" w:w="0.0"/>
        <w:tblLook w:firstRow="1"/>
        <w:tblCaption w:val="Table 6: Minimum and maximum rain event values "/>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2.4</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The maximum intensity event of 2020, on January 30, generated incredible flows across the Leech watershed (not unlike the rest of Vancouver Island and most of the south coast of BC). Streamflow at Cragg crk (site-4) and the Leech Tunnel (site-6) over-topped the vertical racks (greater than 2m tall) and ripped the level-loggers out of their stilling wells.</w:t>
      </w:r>
      <w:r>
        <w:rPr>
          <w:rStyle w:val="FootnoteReference"/>
        </w:rPr>
        <w:footnoteReference w:id="58"/>
      </w:r>
      <w:r>
        <w:t xml:space="preserve"> </w:t>
      </w:r>
      <w:r>
        <w:t xml:space="preserve">Luckily, the level-loggers were found downstream in February and (after drying the circuit boards) the data were successfully retrieved from both Odyssey loggers.</w:t>
      </w:r>
    </w:p>
    <w:p>
      <w:pPr>
        <w:pStyle w:val="BodyText"/>
      </w:pPr>
      <w:r>
        <w:t xml:space="preserve">Figure</w:t>
      </w:r>
      <w:r>
        <w:t xml:space="preserve"> </w:t>
      </w:r>
      <w:r>
        <w:t xml:space="preserve">7</w:t>
      </w:r>
      <w:r>
        <w:t xml:space="preserve"> </w:t>
      </w:r>
      <w:r>
        <w:t xml:space="preserve">shows stream level at each monitored sub-basin along with events and samples collected. Eight of these events were captured in the 2019 water year (2018-2019 wet season), the other ten in the 2020 water year.</w:t>
      </w:r>
    </w:p>
    <w:p>
      <w:pPr>
        <w:pStyle w:val="BodyText"/>
      </w:pPr>
      <w:r>
        <w:t xml:space="preserve"> </w:t>
      </w:r>
    </w:p>
    <w:p>
      <w:pPr>
        <w:pStyle w:val="BodyText"/>
      </w:pPr>
      <w:r>
        <w:drawing>
          <wp:inline>
            <wp:extent cx="5943600" cy="7691717"/>
            <wp:effectExtent b="0" l="0" r="0" t="0"/>
            <wp:docPr descr="Figure 7:  Plot of Precipitation, rain events (as vertical lines), stream rise and sample collection at six sites across the LWSA." title="" id="1" name="Picture"/>
            <a:graphic>
              <a:graphicData uri="http://schemas.openxmlformats.org/drawingml/2006/picture">
                <pic:pic>
                  <pic:nvPicPr>
                    <pic:cNvPr descr="R-outputs_UBC-forWater-MSc_HMc/figures/hydro-samples_events_plot.png" id="0" name="Picture"/>
                    <pic:cNvPicPr>
                      <a:picLocks noChangeArrowheads="1" noChangeAspect="1"/>
                    </pic:cNvPicPr>
                  </pic:nvPicPr>
                  <pic:blipFill>
                    <a:blip r:embed="rId5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 </w:t>
      </w:r>
    </w:p>
    <w:p>
      <w:pPr>
        <w:pStyle w:val="Heading4"/>
      </w:pPr>
      <w:bookmarkStart w:id="60" w:name="temperature-at-vertical-racks"/>
      <w:r>
        <w:t xml:space="preserve">Temperature at vertical racks</w:t>
      </w:r>
      <w:bookmarkEnd w:id="60"/>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8</w:t>
      </w:r>
      <w:r>
        <w:t xml:space="preserve">).</w:t>
      </w:r>
    </w:p>
    <w:p>
      <w:pPr>
        <w:pStyle w:val="CaptionedFigure"/>
      </w:pPr>
      <w:r>
        <w:drawing>
          <wp:inline>
            <wp:extent cx="5504749" cy="5504749"/>
            <wp:effectExtent b="0" l="0" r="0" t="0"/>
            <wp:docPr descr="Figure 8: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6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9</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9: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62"/>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rPr>
          <w:i/>
        </w:rPr>
        <w:t xml:space="preserve">Temperatures recorded in air and water on vertical racks at each research site.</w:t>
      </w:r>
    </w:p>
    <w:p>
      <w:pPr>
        <w:pStyle w:val="BodyText"/>
      </w:pPr>
      <w:r>
        <w:t xml:space="preserve"> </w:t>
      </w:r>
    </w:p>
    <w:p>
      <w:pPr>
        <w:pStyle w:val="Heading4"/>
      </w:pPr>
      <w:bookmarkStart w:id="63" w:name="Hobo"/>
      <w:r>
        <w:t xml:space="preserve">Air temperature comparison &amp; linear regression</w:t>
      </w:r>
      <w:bookmarkEnd w:id="63"/>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10</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10: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6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with no statistical difference (at 90% confidence) for sites 4-6 – Cragg Crk, West Leech and the Tunnel (</w:t>
      </w:r>
      <w:r>
        <w:t xml:space="preserve">??</w:t>
      </w:r>
      <w:r>
        <w:t xml:space="preserve">).</w:t>
      </w:r>
    </w:p>
    <w:p>
      <w:pPr>
        <w:pStyle w:val="BodyText"/>
      </w:pPr>
      <w:r>
        <w:t xml:space="preserve"> </w:t>
      </w:r>
    </w:p>
    <w:p>
      <w:pPr>
        <w:pStyle w:val="CaptionedFigure"/>
      </w:pPr>
      <w:r>
        <w:drawing>
          <wp:inline>
            <wp:extent cx="5943600" cy="1641768"/>
            <wp:effectExtent b="0" l="0" r="0" t="0"/>
            <wp:docPr descr="Figure 11:  Relationships between air temperature recorded at each research site compared to mean air temperature recorded by LWSA weather stations." title="" id="1" name="Picture"/>
            <a:graphic>
              <a:graphicData uri="http://schemas.openxmlformats.org/drawingml/2006/picture">
                <pic:pic>
                  <pic:nvPicPr>
                    <pic:cNvPr descr="R-outputs_UBC-forWater-MSc_HMc/figures/table_Hobo-FWx_wilcoxon-pvalues.png" id="0" name="Picture"/>
                    <pic:cNvPicPr>
                      <a:picLocks noChangeArrowheads="1" noChangeAspect="1"/>
                    </pic:cNvPicPr>
                  </pic:nvPicPr>
                  <pic:blipFill>
                    <a:blip r:embed="rId65"/>
                    <a:stretch>
                      <a:fillRect/>
                    </a:stretch>
                  </pic:blipFill>
                  <pic:spPr bwMode="auto">
                    <a:xfrm>
                      <a:off x="0" y="0"/>
                      <a:ext cx="5943600" cy="1641768"/>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Relationships between air temperature recorded at each research site compared to mean air temperature recorded by LWSA weather stations.</w:t>
      </w:r>
    </w:p>
    <w:p>
      <w:pPr>
        <w:pStyle w:val="BodyText"/>
      </w:pPr>
      <w:r>
        <w:t xml:space="preserve"> </w:t>
      </w:r>
    </w:p>
    <w:p>
      <w:pPr>
        <w:pStyle w:val="BodyText"/>
      </w:pPr>
      <w:r>
        <w:t xml:space="preserve">Despite some differences between FWx and Hobo site data, the overlapping FWx and TidbiT air temperature data were used to generate linear regression relationships to estimate air temperatures at each site for the time preceding Hobo TidbiT deployment (Figure</w:t>
      </w:r>
      <w:r>
        <w:t xml:space="preserve"> </w:t>
      </w:r>
      <w:r>
        <w:t xml:space="preserve">12</w:t>
      </w:r>
      <w:r>
        <w:t xml:space="preserve">). Table</w:t>
      </w:r>
      <w:r>
        <w:t xml:space="preserve"> </w:t>
      </w:r>
      <w:r>
        <w:t xml:space="preserve">7</w:t>
      </w:r>
      <w:r>
        <w:t xml:space="preserve"> </w:t>
      </w:r>
      <w:r>
        <w:t xml:space="preserve">summarizes the average percent error of estimated air temperatures (based on a test period of overlapping data).</w:t>
      </w:r>
    </w:p>
    <w:p>
      <w:pPr>
        <w:pStyle w:val="BodyText"/>
      </w:pPr>
      <w:r>
        <w:t xml:space="preserve"> </w:t>
      </w:r>
    </w:p>
    <w:p>
      <w:pPr>
        <w:pStyle w:val="CaptionedFigure"/>
      </w:pPr>
      <w:r>
        <w:drawing>
          <wp:inline>
            <wp:extent cx="5943600" cy="5943600"/>
            <wp:effectExtent b="0" l="0" r="0" t="0"/>
            <wp:docPr descr="Figure 12:  Relationships between air temperature recorded at each research site compared to mean air temperature recorded by LWSA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Relationships between air temperature recorded at each research site compared to mean air temperature recorded by LWSA weather stations.</w:t>
      </w:r>
    </w:p>
    <w:p>
      <w:pPr>
        <w:pStyle w:val="BodyText"/>
      </w:pPr>
      <w:r>
        <w:t xml:space="preserve"> </w:t>
      </w:r>
    </w:p>
    <w:p>
      <w:pPr>
        <w:pStyle w:val="TableCaption"/>
      </w:pPr>
      <w:r>
        <w:t xml:space="preserve">Table 7:</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7: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35.0</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15.3</w:t>
            </w:r>
          </w:p>
        </w:tc>
        <w:tc>
          <w:p>
            <w:pPr>
              <w:pStyle w:val="Compact"/>
              <w:jc w:val="right"/>
            </w:pPr>
            <w:r>
              <w:t xml:space="preserve">17.7</w:t>
            </w:r>
          </w:p>
        </w:tc>
      </w:tr>
      <w:tr>
        <w:tc>
          <w:p>
            <w:pPr>
              <w:pStyle w:val="Compact"/>
              <w:jc w:val="left"/>
            </w:pPr>
            <w:r>
              <w:t xml:space="preserve">ChrisCrk</w:t>
            </w:r>
          </w:p>
        </w:tc>
        <w:tc>
          <w:p>
            <w:pPr>
              <w:pStyle w:val="Compact"/>
              <w:jc w:val="right"/>
            </w:pPr>
            <w:r>
              <w:t xml:space="preserve">-10.7</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15.6</w:t>
            </w:r>
          </w:p>
        </w:tc>
        <w:tc>
          <w:p>
            <w:pPr>
              <w:pStyle w:val="Compact"/>
              <w:jc w:val="right"/>
            </w:pPr>
            <w:r>
              <w:t xml:space="preserve">18.0</w:t>
            </w:r>
          </w:p>
        </w:tc>
      </w:tr>
      <w:tr>
        <w:tc>
          <w:p>
            <w:pPr>
              <w:pStyle w:val="Compact"/>
              <w:jc w:val="left"/>
            </w:pPr>
            <w:r>
              <w:t xml:space="preserve">LeechHead</w:t>
            </w:r>
          </w:p>
        </w:tc>
        <w:tc>
          <w:p>
            <w:pPr>
              <w:pStyle w:val="Compact"/>
              <w:jc w:val="right"/>
            </w:pPr>
            <w:r>
              <w:t xml:space="preserve">-28.9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15.7</w:t>
            </w:r>
          </w:p>
        </w:tc>
        <w:tc>
          <w:p>
            <w:pPr>
              <w:pStyle w:val="Compact"/>
              <w:jc w:val="right"/>
            </w:pPr>
            <w:r>
              <w:t xml:space="preserve">17.2</w:t>
            </w:r>
          </w:p>
        </w:tc>
      </w:tr>
      <w:tr>
        <w:tc>
          <w:p>
            <w:pPr>
              <w:pStyle w:val="Compact"/>
              <w:jc w:val="left"/>
            </w:pPr>
            <w:r>
              <w:t xml:space="preserve">CraggCrk</w:t>
            </w:r>
          </w:p>
        </w:tc>
        <w:tc>
          <w:p>
            <w:pPr>
              <w:pStyle w:val="Compact"/>
              <w:jc w:val="right"/>
            </w:pPr>
            <w:r>
              <w:t xml:space="preserve">84.2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17.2</w:t>
            </w:r>
          </w:p>
        </w:tc>
        <w:tc>
          <w:p>
            <w:pPr>
              <w:pStyle w:val="Compact"/>
              <w:jc w:val="right"/>
            </w:pPr>
            <w:r>
              <w:t xml:space="preserve">18.9</w:t>
            </w:r>
          </w:p>
        </w:tc>
      </w:tr>
      <w:tr>
        <w:tc>
          <w:p>
            <w:pPr>
              <w:pStyle w:val="Compact"/>
              <w:jc w:val="left"/>
            </w:pPr>
            <w:r>
              <w:t xml:space="preserve">WestLeech</w:t>
            </w:r>
          </w:p>
        </w:tc>
        <w:tc>
          <w:p>
            <w:pPr>
              <w:pStyle w:val="Compact"/>
              <w:jc w:val="right"/>
            </w:pPr>
            <w:r>
              <w:t xml:space="preserve">-61.1</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16.5</w:t>
            </w:r>
          </w:p>
        </w:tc>
        <w:tc>
          <w:p>
            <w:pPr>
              <w:pStyle w:val="Compact"/>
              <w:jc w:val="right"/>
            </w:pPr>
            <w:r>
              <w:t xml:space="preserve">18.4</w:t>
            </w:r>
          </w:p>
        </w:tc>
      </w:tr>
      <w:tr>
        <w:tc>
          <w:p>
            <w:pPr>
              <w:pStyle w:val="Compact"/>
              <w:jc w:val="left"/>
            </w:pPr>
            <w:r>
              <w:t xml:space="preserve">Tunnel</w:t>
            </w:r>
          </w:p>
        </w:tc>
        <w:tc>
          <w:p>
            <w:pPr>
              <w:pStyle w:val="Compact"/>
              <w:jc w:val="right"/>
            </w:pPr>
            <w:r>
              <w:t xml:space="preserve">-6.9</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20.5</w:t>
            </w:r>
          </w:p>
        </w:tc>
        <w:tc>
          <w:p>
            <w:pPr>
              <w:pStyle w:val="Compact"/>
              <w:jc w:val="right"/>
            </w:pPr>
            <w:r>
              <w:t xml:space="preserve">19.5</w:t>
            </w:r>
          </w:p>
        </w:tc>
      </w:tr>
    </w:tbl>
    <w:p>
      <w:pPr>
        <w:pStyle w:val="BodyText"/>
      </w:pPr>
      <w:r>
        <w:t xml:space="preserve"> </w:t>
      </w:r>
    </w:p>
    <w:p>
      <w:pPr>
        <w:pStyle w:val="Heading3"/>
      </w:pPr>
      <w:bookmarkStart w:id="67" w:name="X2684ecebb5dfc6a442fe78aedab729c4b3876f7"/>
      <w:r>
        <w:t xml:space="preserve">Quality control: vertical rack hold-time experiments</w:t>
      </w:r>
      <w:bookmarkEnd w:id="67"/>
    </w:p>
    <w:p>
      <w:pPr>
        <w:pStyle w:val="FirstParagraph"/>
      </w:pPr>
      <w:r>
        <w:t xml:space="preserve">Hold-time experiments were conducted at the Tunnel site to assess stability of river water samples held in siphon bottles on the vertical rack. Figure</w:t>
      </w:r>
      <w:r>
        <w:t xml:space="preserve"> </w:t>
      </w:r>
      <w:r>
        <w:t xml:space="preserve">13</w:t>
      </w:r>
      <w:r>
        <w:t xml:space="preserve"> </w:t>
      </w:r>
      <w:r>
        <w:t xml:space="preserve">summarizes air temperature and timing of the three hold-time sets.</w:t>
      </w:r>
    </w:p>
    <w:p>
      <w:pPr>
        <w:pStyle w:val="BodyText"/>
      </w:pPr>
      <w:r>
        <w:t xml:space="preserve"> </w:t>
      </w:r>
    </w:p>
    <w:p>
      <w:pPr>
        <w:pStyle w:val="CaptionedFigure"/>
      </w:pPr>
      <w:r>
        <w:drawing>
          <wp:inline>
            <wp:extent cx="5943600" cy="5486399"/>
            <wp:effectExtent b="0" l="0" r="0" t="0"/>
            <wp:docPr descr="Figure 13: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png" id="0" name="Picture"/>
                    <pic:cNvPicPr>
                      <a:picLocks noChangeArrowheads="1" noChangeAspect="1"/>
                    </pic:cNvPicPr>
                  </pic:nvPicPr>
                  <pic:blipFill>
                    <a:blip r:embed="rId68"/>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Figure</w:t>
      </w:r>
      <w:r>
        <w:t xml:space="preserve"> </w:t>
      </w:r>
      <w:r>
        <w:t xml:space="preserve">14</w:t>
      </w:r>
      <w:r>
        <w:t xml:space="preserve"> </w:t>
      </w:r>
      <w:r>
        <w:t xml:space="preserve">shows results of sample analyses for DOC and UV</w:t>
      </w:r>
      <w:r>
        <w:rPr>
          <w:vertAlign w:val="subscript"/>
        </w:rPr>
        <w:t xml:space="preserve">254</w:t>
      </w:r>
      <w:r>
        <w:t xml:space="preserve"> </w:t>
      </w:r>
      <w:r>
        <w:t xml:space="preserve">absorbance of the fresh and held samples of each set, Hold-time sets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69"/>
      </w:r>
      <w:r>
        <w:t xml:space="preserve"> </w:t>
      </w:r>
      <w:r>
        <w:t xml:space="preserve">and Table</w:t>
      </w:r>
      <w:r>
        <w:t xml:space="preserve"> </w:t>
      </w:r>
      <w:r>
        <w:t xml:space="preserve">8</w:t>
      </w:r>
      <w:r>
        <w:t xml:space="preserve"> </w:t>
      </w:r>
      <w:r>
        <w:t xml:space="preserve">summarizes the number of days the rack samples were held, the mean air temperature over that period, and the percent change in DOC concentration and UV absorbance at 254nm, as well as Wilcoxon test results comparing fresh and held samples.</w:t>
      </w:r>
    </w:p>
    <w:p>
      <w:pPr>
        <w:pStyle w:val="BodyText"/>
      </w:pPr>
      <w:r>
        <w:t xml:space="preserve"> </w:t>
      </w:r>
    </w:p>
    <w:p>
      <w:pPr>
        <w:pStyle w:val="CaptionedFigure"/>
      </w:pPr>
      <w:r>
        <w:drawing>
          <wp:inline>
            <wp:extent cx="5943600" cy="3668888"/>
            <wp:effectExtent b="0" l="0" r="0" t="0"/>
            <wp:docPr descr="Figure 14: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7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8:</w:t>
      </w:r>
      <w:r>
        <w:t xml:space="preserve"> </w:t>
      </w:r>
      <w:r>
        <w:rPr>
          <w:i/>
        </w:rPr>
        <w:t xml:space="preserve">Results comparing hold-time sample sets</w:t>
      </w:r>
    </w:p>
    <w:tbl>
      <w:tblPr>
        <w:tblStyle w:val="Table"/>
        <w:tblW w:type="pct" w:w="0.0"/>
        <w:tblLook w:firstRow="1"/>
        <w:tblCaption w:val="Table 8: Results comparing hold-time sample sets"/>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Temp range</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UV 254 change (%)</w:t>
            </w:r>
          </w:p>
        </w:tc>
        <w:tc>
          <w:tcPr>
            <w:tcBorders>
              <w:bottom w:val="single"/>
            </w:tcBorders>
            <w:vAlign w:val="bottom"/>
          </w:tcPr>
          <w:p>
            <w:pPr>
              <w:pStyle w:val="Compact"/>
              <w:jc w:val="left"/>
            </w:pPr>
            <w:r>
              <w:t xml:space="preserve">sig.diff (UV 254)</w:t>
            </w:r>
          </w:p>
        </w:tc>
        <w:tc>
          <w:tcPr>
            <w:tcBorders>
              <w:bottom w:val="single"/>
            </w:tcBorders>
            <w:vAlign w:val="bottom"/>
          </w:tcPr>
          <w:p>
            <w:pPr>
              <w:pStyle w:val="Compact"/>
              <w:jc w:val="right"/>
            </w:pPr>
            <w:r>
              <w:t xml:space="preserve">p-value (UV 254)</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r>
    </w:tbl>
    <w:p>
      <w:pPr>
        <w:pStyle w:val="BodyText"/>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 xml:space="preserve">254</w:t>
      </w:r>
      <w:r>
        <w:t xml:space="preserve"> </w:t>
      </w:r>
      <w:r>
        <w:t xml:space="preserve">(&lt;10%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 xml:space="preserve">254</w:t>
      </w:r>
      <w:r>
        <w:t xml:space="preserve"> </w:t>
      </w:r>
      <w:r>
        <w:t xml:space="preserve">(34% decrease in absorbance). In addition to the change in absorbance, Set-C held samples had greater variability for both DOC and UV</w:t>
      </w:r>
      <w:r>
        <w:rPr>
          <w:vertAlign w:val="subscript"/>
        </w:rPr>
        <w:t xml:space="preserve">254</w:t>
      </w:r>
      <w:r>
        <w:t xml:space="preserve"> </w:t>
      </w:r>
      <w:r>
        <w:t xml:space="preserve">compared to the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did not alter DOC concentrations but did effect DOM character via a reduction in aromaticity. Additional tests would be required to determine if the change in DOM character was caused by the length of time the sample was held, or perhaps due only to freezing.</w:t>
      </w:r>
    </w:p>
    <w:p>
      <w:pPr>
        <w:pStyle w:val="BodyText"/>
      </w:pPr>
      <w:r>
        <w:t xml:space="preserve"> </w:t>
      </w:r>
    </w:p>
    <w:p>
      <w:pPr>
        <w:pStyle w:val="Heading5"/>
      </w:pPr>
      <w:bookmarkStart w:id="71" w:name="qa-qc-data-handling"/>
      <w:r>
        <w:t xml:space="preserve">QA-QC data handling</w:t>
      </w:r>
      <w:bookmarkEnd w:id="71"/>
    </w:p>
    <w:p>
      <w:pPr>
        <w:pStyle w:val="FirstParagraph"/>
      </w:pPr>
      <w:r>
        <w:t xml:space="preserve">Based on results of the hold-time experiments, results of sample analyses were updated to include QA-QC data flags. Hold-times were calculated for each sample and Rack samples that remained held for fewer than 20 days at temperatures between 0°C-7°C were flagged as acceptable (</w:t>
      </w:r>
      <w:r>
        <w:t xml:space="preserve">“</w:t>
      </w:r>
      <w:r>
        <w:t xml:space="preserve">OK</w:t>
      </w:r>
      <w:r>
        <w:t xml:space="preserve">”</w:t>
      </w:r>
      <w:r>
        <w:t xml:space="preserve">) whereas samples that were either held for 20 days or longer or were identified as early-wet-season (</w:t>
      </w:r>
      <w:r>
        <w:t xml:space="preserve">“</w:t>
      </w:r>
      <w:r>
        <w:t xml:space="preserve">first-flush</w:t>
      </w:r>
      <w:r>
        <w:t xml:space="preserve">”</w:t>
      </w:r>
      <w:r>
        <w:t xml:space="preserve">) samples which were held for 7 days or longer were flagged as exceeding an acceptable hold-time. These QA-QC flags were used to filter data for subsequent analyses; 33 Rack samples were flagged, reducing the number of samples included in data analyses from 203 total Rack samples to 170 quality-assured Rack samples.</w:t>
      </w:r>
    </w:p>
    <w:p>
      <w:pPr>
        <w:pStyle w:val="Heading3"/>
      </w:pPr>
      <w:bookmarkStart w:id="72" w:name="X206b6dc85f2d0e8717c31364b69e2ee1378e65c"/>
      <w:r>
        <w:t xml:space="preserve">Nested sub-catchments of the Leech watershed</w:t>
      </w:r>
      <w:bookmarkEnd w:id="72"/>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15</w:t>
      </w:r>
      <w:r>
        <w:t xml:space="preserve"> </w:t>
      </w:r>
      <w:r>
        <w:t xml:space="preserve">shows precipitation, air temperature, and stream response over the study period, as well as the timing and stage of sample collection.</w:t>
      </w:r>
    </w:p>
    <w:p>
      <w:pPr>
        <w:pStyle w:val="BodyText"/>
      </w:pPr>
      <w:r>
        <w:t xml:space="preserve"> </w:t>
      </w:r>
    </w:p>
    <w:p>
      <w:pPr>
        <w:pStyle w:val="CaptionedFigure"/>
      </w:pPr>
      <w:r>
        <w:drawing>
          <wp:inline>
            <wp:extent cx="5943600" cy="7691717"/>
            <wp:effectExtent b="0" l="0" r="0" t="0"/>
            <wp:docPr descr="Figure 15:  Weather and stream rise response at six locations across the Leech water supply area." title="" id="1" name="Picture"/>
            <a:graphic>
              <a:graphicData uri="http://schemas.openxmlformats.org/drawingml/2006/picture">
                <pic:pic>
                  <pic:nvPicPr>
                    <pic:cNvPr descr="R-outputs_UBC-forWater-MSc_HMc/figures/Wx-stage_subbasins_megaplot2.png" id="0" name="Picture"/>
                    <pic:cNvPicPr>
                      <a:picLocks noChangeArrowheads="1" noChangeAspect="1"/>
                    </pic:cNvPicPr>
                  </pic:nvPicPr>
                  <pic:blipFill>
                    <a:blip r:embed="rId73"/>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Weather and stream rise response at six locations across the Leech water supply area.</w:t>
      </w:r>
    </w:p>
    <w:p>
      <w:pPr>
        <w:pStyle w:val="BodyText"/>
      </w:pPr>
      <w:r>
        <w:t xml:space="preserve"> </w:t>
      </w:r>
    </w:p>
    <w:p>
      <w:pPr>
        <w:pStyle w:val="BodyText"/>
      </w:pPr>
      <w:r>
        <w:t xml:space="preserve">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to capture by standard grab sampling, particularly across multiple sites. Sampling of the six research sites was achieved through a combination of vertical rack sampling and synoptic grab sampling.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where peak DOC happened to be collected as a Grab sample.</w:t>
      </w:r>
    </w:p>
    <w:p>
      <w:pPr>
        <w:pStyle w:val="Heading3"/>
      </w:pPr>
      <w:bookmarkStart w:id="74" w:name="doc-concentrations-variance"/>
      <w:r>
        <w:t xml:space="preserve">3.3.1 DOC concentrations &amp; variance</w:t>
      </w:r>
      <w:bookmarkEnd w:id="74"/>
    </w:p>
    <w:p>
      <w:pPr>
        <w:pStyle w:val="FirstParagraph"/>
      </w:pPr>
      <w:r>
        <w:t xml:space="preserve">Figure</w:t>
      </w:r>
      <w:r>
        <w:t xml:space="preserve"> </w:t>
      </w:r>
      <w:r>
        <w:t xml:space="preserve">16</w:t>
      </w:r>
      <w:r>
        <w:t xml:space="preserve"> </w:t>
      </w:r>
      <w:r>
        <w:t xml:space="preserve">shows the distribution of DOC concentrations at each of the six sites. Highest DOC concentrations occurred at the Weeks Main creek headwater site (</w:t>
      </w:r>
      <w:r>
        <w:rPr>
          <w:i/>
        </w:rPr>
        <w:t xml:space="preserve">‘</w:t>
      </w:r>
      <w:r>
        <w:rPr>
          <w:i/>
        </w:rPr>
        <w:t xml:space="preserve">Weeks</w:t>
      </w:r>
      <w:r>
        <w:rPr>
          <w:i/>
        </w:rPr>
        <w:t xml:space="preserve">’</w:t>
      </w:r>
      <w:r>
        <w:t xml:space="preserve">, site 1), a sub-basin in the northwest of the watershed which includes Weeks Lake and surrounding wetlands. Lowest DOC was recorded at Leech River Tunnel site (</w:t>
      </w:r>
      <w:r>
        <w:rPr>
          <w:i/>
        </w:rPr>
        <w:t xml:space="preserve">‘</w:t>
      </w:r>
      <w:r>
        <w:rPr>
          <w:i/>
        </w:rPr>
        <w:t xml:space="preserve">Tunnel</w:t>
      </w:r>
      <w:r>
        <w:rPr>
          <w:i/>
        </w:rPr>
        <w:t xml:space="preserve">’</w:t>
      </w:r>
      <w:r>
        <w:t xml:space="preserve">, site 6).</w:t>
      </w:r>
    </w:p>
    <w:p>
      <w:pPr>
        <w:pStyle w:val="BodyText"/>
      </w:pPr>
      <w:r>
        <w:t xml:space="preserve"> </w:t>
      </w:r>
    </w:p>
    <w:p>
      <w:pPr>
        <w:pStyle w:val="CaptionedFigure"/>
      </w:pPr>
      <w:r>
        <w:drawing>
          <wp:inline>
            <wp:extent cx="5943600" cy="5943600"/>
            <wp:effectExtent b="0" l="0" r="0" t="0"/>
            <wp:docPr descr="Figure 16:  Dissolved organic carbon concentrations across the Leech watershed over sixteen months (366 samples)."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Dissolved organic carbon concentrations across the Leech watershed over sixteen months (366 samples).</w:t>
      </w:r>
    </w:p>
    <w:p>
      <w:pPr>
        <w:pStyle w:val="BodyText"/>
      </w:pPr>
      <w:r>
        <w:t xml:space="preserve"> </w:t>
      </w:r>
    </w:p>
    <w:p>
      <w:pPr>
        <w:pStyle w:val="BodyText"/>
      </w:pPr>
      <w:r>
        <w:t xml:space="preserve">The Tunnel site is the outlet of the Leech water supply area (LWSA), as the Leech River Tunnel will be the point of diversion for future inter-basin transfer. Runoff from each of the five nested catchments are effectively integrated at the Tunnel site. Similarly, Weeks Main and Chris Creek sites (</w:t>
      </w:r>
      <w:r>
        <w:rPr>
          <w:i/>
        </w:rPr>
        <w:t xml:space="preserve">‘</w:t>
      </w:r>
      <w:r>
        <w:rPr>
          <w:i/>
        </w:rPr>
        <w:t xml:space="preserve">Weeks</w:t>
      </w:r>
      <w:r>
        <w:rPr>
          <w:i/>
        </w:rPr>
        <w:t xml:space="preserve">’</w:t>
      </w:r>
      <w:r>
        <w:t xml:space="preserve"> </w:t>
      </w:r>
      <w:r>
        <w:t xml:space="preserve">&amp;</w:t>
      </w:r>
      <w:r>
        <w:t xml:space="preserve"> </w:t>
      </w:r>
      <w:r>
        <w:rPr>
          <w:i/>
        </w:rPr>
        <w:t xml:space="preserve">‘</w:t>
      </w:r>
      <w:r>
        <w:rPr>
          <w:i/>
        </w:rPr>
        <w:t xml:space="preserve">ChrisCrk</w:t>
      </w:r>
      <w:r>
        <w:rPr>
          <w:i/>
        </w:rPr>
        <w:t xml:space="preserve">’</w:t>
      </w:r>
      <w:r>
        <w:t xml:space="preserve">) are integrated at the Leech-Head site. Table</w:t>
      </w:r>
      <w:r>
        <w:t xml:space="preserve"> </w:t>
      </w:r>
      <w:r>
        <w:t xml:space="preserve">9</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9:</w:t>
      </w:r>
      <w:r>
        <w:t xml:space="preserve"> </w:t>
      </w:r>
      <w:r>
        <w:rPr>
          <w:i/>
        </w:rPr>
        <w:t xml:space="preserve">Summary of DOC across the six LWSA research sites with each nested catchment classified by basin type. Relative standard deviation (RSD) reflects the absolute standard deviation (sd) relative to mean DOC at each site.</w:t>
      </w:r>
    </w:p>
    <w:tbl>
      <w:tblPr>
        <w:tblStyle w:val="Table"/>
        <w:tblW w:type="pct" w:w="0.0"/>
        <w:tblLook w:firstRow="1"/>
        <w:tblCaption w:val="Table 9: Summary of DOC across the six LWSA research sites with each nested catchment classified by basin type. Relative standard deviation (RSD) reflects the absolute standard deviation (sd) relative to mean DOC at each sit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56</w:t>
            </w:r>
          </w:p>
        </w:tc>
        <w:tc>
          <w:p>
            <w:pPr>
              <w:pStyle w:val="Compact"/>
              <w:jc w:val="right"/>
            </w:pPr>
            <w:r>
              <w:t xml:space="preserve">10</w:t>
            </w:r>
          </w:p>
        </w:tc>
        <w:tc>
          <w:p>
            <w:pPr>
              <w:pStyle w:val="Compact"/>
              <w:jc w:val="right"/>
            </w:pPr>
            <w:r>
              <w:t xml:space="preserve">4</w:t>
            </w:r>
          </w:p>
        </w:tc>
        <w:tc>
          <w:p>
            <w:pPr>
              <w:pStyle w:val="Compact"/>
              <w:jc w:val="right"/>
            </w:pPr>
            <w:r>
              <w:t xml:space="preserve">36</w:t>
            </w:r>
          </w:p>
        </w:tc>
        <w:tc>
          <w:p>
            <w:pPr>
              <w:pStyle w:val="Compact"/>
              <w:jc w:val="right"/>
            </w:pPr>
            <w:r>
              <w:t xml:space="preserve">3.78</w:t>
            </w:r>
          </w:p>
        </w:tc>
        <w:tc>
          <w:p>
            <w:pPr>
              <w:pStyle w:val="Compact"/>
              <w:jc w:val="right"/>
            </w:pPr>
            <w:r>
              <w:t xml:space="preserve">9.44</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49</w:t>
            </w:r>
          </w:p>
        </w:tc>
        <w:tc>
          <w:p>
            <w:pPr>
              <w:pStyle w:val="Compact"/>
              <w:jc w:val="right"/>
            </w:pPr>
            <w:r>
              <w:t xml:space="preserve">5</w:t>
            </w:r>
          </w:p>
        </w:tc>
        <w:tc>
          <w:p>
            <w:pPr>
              <w:pStyle w:val="Compact"/>
              <w:jc w:val="right"/>
            </w:pPr>
            <w:r>
              <w:t xml:space="preserve">2</w:t>
            </w:r>
          </w:p>
        </w:tc>
        <w:tc>
          <w:p>
            <w:pPr>
              <w:pStyle w:val="Compact"/>
              <w:jc w:val="right"/>
            </w:pPr>
            <w:r>
              <w:t xml:space="preserve">41</w:t>
            </w:r>
          </w:p>
        </w:tc>
        <w:tc>
          <w:p>
            <w:pPr>
              <w:pStyle w:val="Compact"/>
              <w:jc w:val="right"/>
            </w:pPr>
            <w:r>
              <w:t xml:space="preserve">1.84</w:t>
            </w:r>
          </w:p>
        </w:tc>
        <w:tc>
          <w:p>
            <w:pPr>
              <w:pStyle w:val="Compact"/>
              <w:jc w:val="right"/>
            </w:pPr>
            <w:r>
              <w:t xml:space="preserve">4.74</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51</w:t>
            </w:r>
          </w:p>
        </w:tc>
        <w:tc>
          <w:p>
            <w:pPr>
              <w:pStyle w:val="Compact"/>
              <w:jc w:val="right"/>
            </w:pPr>
            <w:r>
              <w:t xml:space="preserve">7</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6.84</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71</w:t>
            </w:r>
          </w:p>
        </w:tc>
        <w:tc>
          <w:p>
            <w:pPr>
              <w:pStyle w:val="Compact"/>
              <w:jc w:val="right"/>
            </w:pPr>
            <w:r>
              <w:t xml:space="preserve">5</w:t>
            </w:r>
          </w:p>
        </w:tc>
        <w:tc>
          <w:p>
            <w:pPr>
              <w:pStyle w:val="Compact"/>
              <w:jc w:val="right"/>
            </w:pPr>
            <w:r>
              <w:t xml:space="preserve">1</w:t>
            </w:r>
          </w:p>
        </w:tc>
        <w:tc>
          <w:p>
            <w:pPr>
              <w:pStyle w:val="Compact"/>
              <w:jc w:val="right"/>
            </w:pPr>
            <w:r>
              <w:t xml:space="preserve">31</w:t>
            </w:r>
          </w:p>
        </w:tc>
        <w:tc>
          <w:p>
            <w:pPr>
              <w:pStyle w:val="Compact"/>
              <w:jc w:val="right"/>
            </w:pPr>
            <w:r>
              <w:t xml:space="preserve">1.79</w:t>
            </w:r>
          </w:p>
        </w:tc>
        <w:tc>
          <w:p>
            <w:pPr>
              <w:pStyle w:val="Compact"/>
              <w:jc w:val="right"/>
            </w:pPr>
            <w:r>
              <w:t xml:space="preserve">4.46</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67</w:t>
            </w:r>
          </w:p>
        </w:tc>
        <w:tc>
          <w:p>
            <w:pPr>
              <w:pStyle w:val="Compact"/>
              <w:jc w:val="right"/>
            </w:pPr>
            <w:r>
              <w:t xml:space="preserve">6</w:t>
            </w:r>
          </w:p>
        </w:tc>
        <w:tc>
          <w:p>
            <w:pPr>
              <w:pStyle w:val="Compact"/>
              <w:jc w:val="right"/>
            </w:pPr>
            <w:r>
              <w:t xml:space="preserve">2</w:t>
            </w:r>
          </w:p>
        </w:tc>
        <w:tc>
          <w:p>
            <w:pPr>
              <w:pStyle w:val="Compact"/>
              <w:jc w:val="right"/>
            </w:pPr>
            <w:r>
              <w:t xml:space="preserve">41</w:t>
            </w:r>
          </w:p>
        </w:tc>
        <w:tc>
          <w:p>
            <w:pPr>
              <w:pStyle w:val="Compact"/>
              <w:jc w:val="right"/>
            </w:pPr>
            <w:r>
              <w:t xml:space="preserve">2.00</w:t>
            </w:r>
          </w:p>
        </w:tc>
        <w:tc>
          <w:p>
            <w:pPr>
              <w:pStyle w:val="Compact"/>
              <w:jc w:val="right"/>
            </w:pPr>
            <w:r>
              <w:t xml:space="preserve">5.36</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74</w:t>
            </w:r>
          </w:p>
        </w:tc>
        <w:tc>
          <w:p>
            <w:pPr>
              <w:pStyle w:val="Compact"/>
              <w:jc w:val="right"/>
            </w:pPr>
            <w:r>
              <w:t xml:space="preserve">5</w:t>
            </w:r>
          </w:p>
        </w:tc>
        <w:tc>
          <w:p>
            <w:pPr>
              <w:pStyle w:val="Compact"/>
              <w:jc w:val="right"/>
            </w:pPr>
            <w:r>
              <w:t xml:space="preserve">2</w:t>
            </w:r>
          </w:p>
        </w:tc>
        <w:tc>
          <w:p>
            <w:pPr>
              <w:pStyle w:val="Compact"/>
              <w:jc w:val="right"/>
            </w:pPr>
            <w:r>
              <w:t xml:space="preserve">36</w:t>
            </w:r>
          </w:p>
        </w:tc>
        <w:tc>
          <w:p>
            <w:pPr>
              <w:pStyle w:val="Compact"/>
              <w:jc w:val="right"/>
            </w:pPr>
            <w:r>
              <w:t xml:space="preserve">1.65</w:t>
            </w:r>
          </w:p>
        </w:tc>
        <w:tc>
          <w:p>
            <w:pPr>
              <w:pStyle w:val="Compact"/>
              <w:jc w:val="right"/>
            </w:pPr>
            <w:r>
              <w:t xml:space="preserve">4.94</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105</w:t>
            </w:r>
          </w:p>
        </w:tc>
        <w:tc>
          <w:p>
            <w:pPr>
              <w:pStyle w:val="Compact"/>
              <w:jc w:val="right"/>
            </w:pPr>
            <w:r>
              <w:t xml:space="preserve">8</w:t>
            </w:r>
          </w:p>
        </w:tc>
        <w:tc>
          <w:p>
            <w:pPr>
              <w:pStyle w:val="Compact"/>
              <w:jc w:val="right"/>
            </w:pPr>
            <w:r>
              <w:t xml:space="preserve">4</w:t>
            </w:r>
          </w:p>
        </w:tc>
        <w:tc>
          <w:p>
            <w:pPr>
              <w:pStyle w:val="Compact"/>
              <w:jc w:val="right"/>
            </w:pPr>
            <w:r>
              <w:t xml:space="preserve">52</w:t>
            </w:r>
          </w:p>
        </w:tc>
        <w:tc>
          <w:p>
            <w:pPr>
              <w:pStyle w:val="Compact"/>
              <w:jc w:val="right"/>
            </w:pPr>
            <w:r>
              <w:t xml:space="preserve">1.84</w:t>
            </w:r>
          </w:p>
        </w:tc>
        <w:tc>
          <w:p>
            <w:pPr>
              <w:pStyle w:val="Compact"/>
              <w:jc w:val="right"/>
            </w:pPr>
            <w:r>
              <w:t xml:space="preserve">6.77</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189</w:t>
            </w:r>
          </w:p>
        </w:tc>
        <w:tc>
          <w:p>
            <w:pPr>
              <w:pStyle w:val="Compact"/>
              <w:jc w:val="right"/>
            </w:pPr>
            <w:r>
              <w:t xml:space="preserve">6</w:t>
            </w:r>
          </w:p>
        </w:tc>
        <w:tc>
          <w:p>
            <w:pPr>
              <w:pStyle w:val="Compact"/>
              <w:jc w:val="right"/>
            </w:pPr>
            <w:r>
              <w:t xml:space="preserve">2</w:t>
            </w:r>
          </w:p>
        </w:tc>
        <w:tc>
          <w:p>
            <w:pPr>
              <w:pStyle w:val="Compact"/>
              <w:jc w:val="right"/>
            </w:pPr>
            <w:r>
              <w:t xml:space="preserve">36</w:t>
            </w:r>
          </w:p>
        </w:tc>
        <w:tc>
          <w:p>
            <w:pPr>
              <w:pStyle w:val="Compact"/>
              <w:jc w:val="right"/>
            </w:pPr>
            <w:r>
              <w:t xml:space="preserve">1.79</w:t>
            </w:r>
          </w:p>
        </w:tc>
        <w:tc>
          <w:p>
            <w:pPr>
              <w:pStyle w:val="Compact"/>
              <w:jc w:val="right"/>
            </w:pPr>
            <w:r>
              <w:t xml:space="preserve">5.36</w:t>
            </w:r>
          </w:p>
        </w:tc>
        <w:tc>
          <w:p>
            <w:pPr>
              <w:pStyle w:val="Compact"/>
              <w:jc w:val="right"/>
            </w:pPr>
            <w:r>
              <w:t xml:space="preserve">11.64</w:t>
            </w:r>
          </w:p>
        </w:tc>
      </w:tr>
    </w:tbl>
    <w:p>
      <w:pPr>
        <w:pStyle w:val="BodyText"/>
      </w:pPr>
      <w:r>
        <w:t xml:space="preserve"> </w:t>
      </w:r>
    </w:p>
    <w:p>
      <w:pPr>
        <w:pStyle w:val="BodyText"/>
      </w:pPr>
      <w:r>
        <w:t xml:space="preserve">** needs a better frame:</w:t>
      </w:r>
      <w:r>
        <w:t xml:space="preserve"> </w:t>
      </w:r>
      <w:r>
        <w:t xml:space="preserve">Which was greater, the variability of DOC concentrations within each site or between sites?</w:t>
      </w:r>
    </w:p>
    <w:p>
      <w:pPr>
        <w:pStyle w:val="BodyText"/>
      </w:pPr>
      <w:r>
        <w:t xml:space="preserve">Relative standard deviation (RSD) indicates how values range around the mean within a group. Across the LWSA DOC at each site ranged from 24% to 41% RSD. Among the headwater sites (sites 1 &amp; 2) DOC had a 52% RSD, compared to 36% among mainstem rivers. This means that the variance observed between headwater sites was greater than the variance thant occured at each site, whereas RSD among mainstem rivers was close to the average observed at each of those sites.</w:t>
      </w:r>
    </w:p>
    <w:p>
      <w:pPr>
        <w:pStyle w:val="BodyText"/>
      </w:pPr>
      <w:r>
        <w:t xml:space="preserve">Results of Levene’s test</w:t>
      </w:r>
      <w:r>
        <w:rPr>
          <w:rStyle w:val="FootnoteReference"/>
        </w:rPr>
        <w:footnoteReference w:id="76"/>
      </w:r>
      <w:r>
        <w:t xml:space="preserve"> </w:t>
      </w:r>
      <w:r>
        <w:t xml:space="preserve">confirmed that the variance of DOC concentrations was not homogeneous across the LWSA (p-value = 8.2</w:t>
      </w:r>
      <w:r>
        <w:rPr>
          <w:vertAlign w:val="superscript"/>
        </w:rPr>
        <w:t xml:space="preserve">-10</w:t>
      </w:r>
      <w:r>
        <w:t xml:space="preserve">). To identify which pairs of sites had equal DOC variance (or were heteroscedastic), Levene’s test was applied to sample DOC results for pairs of sites. Table</w:t>
      </w:r>
      <w:r>
        <w:t xml:space="preserve"> </w:t>
      </w:r>
      <w:r>
        <w:t xml:space="preserve">10</w:t>
      </w:r>
      <w:r>
        <w:t xml:space="preserve"> </w:t>
      </w:r>
      <w:r>
        <w:t xml:space="preserve">classifies each site comparison by basin-type and summarizes p-values for each pair. Of the nine comparisons made between the six sites, West Leech River (</w:t>
      </w:r>
      <w:r>
        <w:rPr>
          <w:i/>
        </w:rPr>
        <w:t xml:space="preserve">‘</w:t>
      </w:r>
      <w:r>
        <w:rPr>
          <w:i/>
        </w:rPr>
        <w:t xml:space="preserve">WestLeech</w:t>
      </w:r>
      <w:r>
        <w:rPr>
          <w:i/>
        </w:rPr>
        <w:t xml:space="preserve">’</w:t>
      </w:r>
      <w:r>
        <w:t xml:space="preserve">, site-5) and Weeks Main Creek (</w:t>
      </w:r>
      <w:r>
        <w:rPr>
          <w:i/>
        </w:rPr>
        <w:t xml:space="preserve">‘</w:t>
      </w:r>
      <w:r>
        <w:rPr>
          <w:i/>
        </w:rPr>
        <w:t xml:space="preserve">Weeks</w:t>
      </w:r>
      <w:r>
        <w:rPr>
          <w:i/>
        </w:rPr>
        <w:t xml:space="preserve">’</w:t>
      </w:r>
      <w:r>
        <w:t xml:space="preserve">, site-1) did not have homogeneous variance when compared with any other sites; all other combinations of sites showed homoscedasticity. Both of these sub-basins drain the west side of LWSA.</w:t>
      </w:r>
    </w:p>
    <w:p>
      <w:pPr>
        <w:pStyle w:val="BodyText"/>
      </w:pPr>
      <w:r>
        <w:t xml:space="preserve"> </w:t>
      </w:r>
    </w:p>
    <w:p>
      <w:pPr>
        <w:pStyle w:val="TableCaption"/>
      </w:pPr>
      <w:r>
        <w:t xml:space="preserve">Table 10:</w:t>
      </w:r>
      <w:r>
        <w:t xml:space="preserve"> </w:t>
      </w:r>
      <w:r>
        <w:rPr>
          <w:i/>
        </w:rPr>
        <w:t xml:space="preserve">Results of Levene’s test comparing DOC variance between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0: Results of Levene’s test comparing DOC variance between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0.00605</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0.00020</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0.11396</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0.52974</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0.01536</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0.00053</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0.44089</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0.10117</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0.03605</w:t>
            </w:r>
          </w:p>
        </w:tc>
        <w:tc>
          <w:p>
            <w:pPr>
              <w:pStyle w:val="Compact"/>
              <w:jc w:val="left"/>
            </w:pPr>
            <w:r>
              <w:t xml:space="preserve">**</w:t>
            </w:r>
          </w:p>
        </w:tc>
      </w:tr>
    </w:tbl>
    <w:p>
      <w:pPr>
        <w:pStyle w:val="BodyText"/>
      </w:pPr>
      <w:r>
        <w:t xml:space="preserve"> </w:t>
      </w:r>
    </w:p>
    <w:p>
      <w:pPr>
        <w:pStyle w:val="Heading3"/>
      </w:pPr>
      <w:bookmarkStart w:id="77" w:name="temporal-patterns"/>
      <w:r>
        <w:t xml:space="preserve">3.3.2 Temporal patterns</w:t>
      </w:r>
      <w:bookmarkEnd w:id="77"/>
    </w:p>
    <w:p>
      <w:pPr>
        <w:pStyle w:val="FirstParagraph"/>
      </w:pPr>
      <w:r>
        <w:t xml:space="preserve">Fluctuations in stage were synchronized across the LWSA, and it was confirmed that river response was concordant among the six sites (Kendall’s W = 0.9721, Spearman’s ranked correlation = 0.9666, p-value &lt;0.001 (based on 999 randomizations)). While rainfall generated synchrony in stream rise, how did aqueous DOC concentration vary over time?</w:t>
      </w:r>
    </w:p>
    <w:p>
      <w:pPr>
        <w:pStyle w:val="BodyText"/>
      </w:pPr>
      <w:r>
        <w:t xml:space="preserve">Over time, DOC concentrations followed similar trends across each of the six LWSA sites (Figure</w:t>
      </w:r>
      <w:r>
        <w:t xml:space="preserve"> </w:t>
      </w:r>
      <w:r>
        <w:t xml:space="preserve">17</w:t>
      </w:r>
      <w:r>
        <w:t xml:space="preserve">). DOC was highest early in the wet season and progressively decreased through the fall and winter, reaching minimum concentrations in the spring before progressively increasing again through the summer.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BodyText"/>
      </w:pPr>
      <w:r>
        <w:t xml:space="preserve"> </w:t>
      </w:r>
    </w:p>
    <w:p>
      <w:pPr>
        <w:pStyle w:val="CaptionedFigure"/>
      </w:pPr>
      <w:r>
        <w:drawing>
          <wp:inline>
            <wp:extent cx="5504749" cy="5504749"/>
            <wp:effectExtent b="0" l="0" r="0" t="0"/>
            <wp:docPr descr="Figure 17:  Trends in dissolved organic carbon concentrations over sixteen months (Oct 2018 to Feb 2020) at six sites across the Leech water supply area (n = 367: 166 grab samples, 201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7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Trends in dissolved organic carbon concentrations over sixteen months (Oct 2018 to Feb 2020) at six sites across the Leech water supply area (n = 367: 166 grab samples, 201 vertical rack samples.</w:t>
      </w:r>
    </w:p>
    <w:p>
      <w:pPr>
        <w:pStyle w:val="BodyText"/>
      </w:pPr>
      <w:r>
        <w:t xml:space="preserve"> </w:t>
      </w:r>
    </w:p>
    <w:p>
      <w:pPr>
        <w:pStyle w:val="BodyText"/>
      </w:pPr>
      <w:r>
        <w:rPr>
          <w:b/>
        </w:rPr>
        <w:t xml:space="preserve">I think I should drop this, because DOC was not recorded continuously or simultaneously</w:t>
      </w:r>
    </w:p>
    <w:p>
      <w:pPr>
        <w:pStyle w:val="BodyText"/>
      </w:pPr>
      <w:r>
        <w:t xml:space="preserve">To determine whether DOC minimum and maximum concentrations occurred at the same time across the LWSA, temporal synchrony tests were run on sample results. The R package Synchrony was used to find the proportion of common time-stamped DOC extrema (minima and maxima) between pairs of sites. Table</w:t>
      </w:r>
      <w:r>
        <w:t xml:space="preserve"> </w:t>
      </w:r>
      <w:r>
        <w:t xml:space="preserve">??</w:t>
      </w:r>
      <w:r>
        <w:t xml:space="preserve"> </w:t>
      </w:r>
      <w:r>
        <w:t xml:space="preserve">summarizes the findings of these synchrony tests, where a proportion of 1 indicates perfect temporal synchrony of DOC peaks between sites (and zero indicates asynchrony).</w:t>
      </w:r>
    </w:p>
    <w:p>
      <w:pPr>
        <w:pStyle w:val="BodyText"/>
      </w:pPr>
      <w:r>
        <w:t xml:space="preserve">** OR if DateTime was rounded to 30 minute intervals, there might be more of a level playing field?</w:t>
      </w:r>
      <w:r>
        <w:t xml:space="preserve"> </w:t>
      </w:r>
      <w:r>
        <w:t xml:space="preserve">*** nope never mind, I don’t think that will work because you’d have to average DOC values or something</w:t>
      </w:r>
    </w:p>
    <w:p>
      <w:pPr>
        <w:pStyle w:val="Heading3"/>
      </w:pPr>
      <w:bookmarkStart w:id="79" w:name="X11fc2803db8ab1358e155c58db50d9cf7ef0827"/>
      <w:r>
        <w:t xml:space="preserve">? spatial Synchrony DOC &amp; stage local extrema</w:t>
      </w:r>
      <w:bookmarkEnd w:id="79"/>
    </w:p>
    <w:p>
      <w:pPr>
        <w:pStyle w:val="FirstParagraph"/>
      </w:pPr>
      <w:r>
        <w:t xml:space="preserve">— manual doc and peak stage analysis</w:t>
      </w:r>
      <w:r>
        <w:t xml:space="preserve"> </w:t>
      </w:r>
      <w:r>
        <w:t xml:space="preserve">– this is the good stuff:</w:t>
      </w:r>
    </w:p>
    <w:p>
      <w:pPr>
        <w:pStyle w:val="BodyText"/>
      </w:pPr>
      <w:r>
        <w:t xml:space="preserve">Did DOC concentrations peak in synchrony with river stage at each site? To determine if local extrema (maxima and minima) DOC concentrations were captured in synchrony with the local extrema of sampled flows (minima and maxima sampled stage), temporal synchrony tests were run on sample results. For each site, results of samples were grouped by collection period and rain event to identify maximum and minimum DOC and peak sample stage and then checked to determine whether extrema of DOC occurred in the sample collected at corresponding stage extrema. Table</w:t>
      </w:r>
      <w:r>
        <w:t xml:space="preserve"> </w:t>
      </w:r>
      <w:r>
        <w:t xml:space="preserve">11</w:t>
      </w:r>
      <w:r>
        <w:t xml:space="preserve"> </w:t>
      </w:r>
      <w:r>
        <w:t xml:space="preserve">summarized the proportion of samples collected at each site for which the same sample corresponded to both DOC and sample stage extrema.</w:t>
      </w:r>
    </w:p>
    <w:p>
      <w:pPr>
        <w:pStyle w:val="BodyText"/>
      </w:pPr>
      <w:r>
        <w:t xml:space="preserve"> </w:t>
      </w:r>
    </w:p>
    <w:p>
      <w:pPr>
        <w:pStyle w:val="TableCaption"/>
      </w:pPr>
      <w:r>
        <w:t xml:space="preserve">Table 11:</w:t>
      </w:r>
      <w:r>
        <w:t xml:space="preserve"> </w:t>
      </w:r>
      <w:r>
        <w:rPr>
          <w:i/>
        </w:rPr>
        <w:t xml:space="preserve">Proportion of samples for which peak DOC was found in the highest sample stage.</w:t>
      </w:r>
    </w:p>
    <w:tbl>
      <w:tblPr>
        <w:tblStyle w:val="Table"/>
        <w:tblW w:type="pct" w:w="0.0"/>
        <w:tblLook w:firstRow="1"/>
        <w:tblCaption w:val="Table 11: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0.647</w:t>
            </w:r>
          </w:p>
        </w:tc>
        <w:tc>
          <w:p>
            <w:pPr>
              <w:pStyle w:val="Compact"/>
              <w:jc w:val="right"/>
            </w:pPr>
            <w:r>
              <w:t xml:space="preserve">1</w:t>
            </w:r>
          </w:p>
        </w:tc>
      </w:tr>
      <w:tr>
        <w:tc>
          <w:p>
            <w:pPr>
              <w:pStyle w:val="Compact"/>
              <w:jc w:val="left"/>
            </w:pPr>
            <w:r>
              <w:t xml:space="preserve">ChrisCrk</w:t>
            </w:r>
          </w:p>
        </w:tc>
        <w:tc>
          <w:p>
            <w:pPr>
              <w:pStyle w:val="Compact"/>
              <w:jc w:val="right"/>
            </w:pPr>
            <w:r>
              <w:t xml:space="preserve">0.800</w:t>
            </w:r>
          </w:p>
        </w:tc>
        <w:tc>
          <w:p>
            <w:pPr>
              <w:pStyle w:val="Compact"/>
              <w:jc w:val="right"/>
            </w:pPr>
            <w:r>
              <w:t xml:space="preserve">1</w:t>
            </w:r>
          </w:p>
        </w:tc>
      </w:tr>
      <w:tr>
        <w:tc>
          <w:p>
            <w:pPr>
              <w:pStyle w:val="Compact"/>
              <w:jc w:val="left"/>
            </w:pPr>
            <w:r>
              <w:t xml:space="preserve">LeechHead</w:t>
            </w:r>
          </w:p>
        </w:tc>
        <w:tc>
          <w:p>
            <w:pPr>
              <w:pStyle w:val="Compact"/>
              <w:jc w:val="right"/>
            </w:pPr>
            <w:r>
              <w:t xml:space="preserve">0.889</w:t>
            </w:r>
          </w:p>
        </w:tc>
        <w:tc>
          <w:p>
            <w:pPr>
              <w:pStyle w:val="Compact"/>
              <w:jc w:val="right"/>
            </w:pPr>
            <w:r>
              <w:t xml:space="preserve">1</w:t>
            </w:r>
          </w:p>
        </w:tc>
      </w:tr>
      <w:tr>
        <w:tc>
          <w:p>
            <w:pPr>
              <w:pStyle w:val="Compact"/>
              <w:jc w:val="left"/>
            </w:pPr>
            <w:r>
              <w:t xml:space="preserve">CraggCrk</w:t>
            </w:r>
          </w:p>
        </w:tc>
        <w:tc>
          <w:p>
            <w:pPr>
              <w:pStyle w:val="Compact"/>
              <w:jc w:val="right"/>
            </w:pPr>
            <w:r>
              <w:t xml:space="preserve">0.800</w:t>
            </w:r>
          </w:p>
        </w:tc>
        <w:tc>
          <w:p>
            <w:pPr>
              <w:pStyle w:val="Compact"/>
              <w:jc w:val="right"/>
            </w:pPr>
            <w:r>
              <w:t xml:space="preserve">1</w:t>
            </w:r>
          </w:p>
        </w:tc>
      </w:tr>
      <w:tr>
        <w:tc>
          <w:p>
            <w:pPr>
              <w:pStyle w:val="Compact"/>
              <w:jc w:val="left"/>
            </w:pPr>
            <w:r>
              <w:t xml:space="preserve">WestLeech</w:t>
            </w:r>
          </w:p>
        </w:tc>
        <w:tc>
          <w:p>
            <w:pPr>
              <w:pStyle w:val="Compact"/>
              <w:jc w:val="right"/>
            </w:pPr>
            <w:r>
              <w:t xml:space="preserve">0.864</w:t>
            </w:r>
          </w:p>
        </w:tc>
        <w:tc>
          <w:p>
            <w:pPr>
              <w:pStyle w:val="Compact"/>
              <w:jc w:val="right"/>
            </w:pPr>
            <w:r>
              <w:t xml:space="preserve">1</w:t>
            </w:r>
          </w:p>
        </w:tc>
      </w:tr>
      <w:tr>
        <w:tc>
          <w:p>
            <w:pPr>
              <w:pStyle w:val="Compact"/>
              <w:jc w:val="left"/>
            </w:pPr>
            <w:r>
              <w:t xml:space="preserve">Tunnel</w:t>
            </w:r>
          </w:p>
        </w:tc>
        <w:tc>
          <w:p>
            <w:pPr>
              <w:pStyle w:val="Compact"/>
              <w:jc w:val="right"/>
            </w:pPr>
            <w:r>
              <w:t xml:space="preserve">0.765</w:t>
            </w:r>
          </w:p>
        </w:tc>
        <w:tc>
          <w:p>
            <w:pPr>
              <w:pStyle w:val="Compact"/>
              <w:jc w:val="right"/>
            </w:pPr>
            <w:r>
              <w:t xml:space="preserve">1</w:t>
            </w:r>
          </w:p>
        </w:tc>
      </w:tr>
      <w:tr>
        <w:tc>
          <w:p>
            <w:pPr>
              <w:pStyle w:val="Compact"/>
              <w:jc w:val="left"/>
            </w:pPr>
            <w:r>
              <w:t xml:space="preserve">all sites</w:t>
            </w:r>
          </w:p>
        </w:tc>
        <w:tc>
          <w:p>
            <w:pPr>
              <w:pStyle w:val="Compact"/>
              <w:jc w:val="right"/>
            </w:pPr>
            <w:r>
              <w:t xml:space="preserve">0.798</w:t>
            </w:r>
          </w:p>
        </w:tc>
        <w:tc>
          <w:p>
            <w:pPr>
              <w:pStyle w:val="Compact"/>
              <w:jc w:val="right"/>
            </w:pPr>
            <w:r>
              <w:t xml:space="preserve">1</w:t>
            </w:r>
          </w:p>
        </w:tc>
      </w:tr>
    </w:tbl>
    <w:p>
      <w:pPr>
        <w:pStyle w:val="BodyText"/>
      </w:pPr>
      <w:r>
        <w:t xml:space="preserve"> </w:t>
      </w:r>
    </w:p>
    <w:p>
      <w:pPr>
        <w:pStyle w:val="BodyText"/>
      </w:pPr>
      <w:r>
        <w:t xml:space="preserve">To better understand how timing of peak DOC varied among sites during the wet season, a subset of samples was selected for closer analysis.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12</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12:</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2: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0.4055</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0.4140</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0.1316</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0.9135</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0.8162</w:t>
            </w:r>
          </w:p>
        </w:tc>
      </w:tr>
      <w:tr>
        <w:tc>
          <w:p>
            <w:pPr>
              <w:pStyle w:val="Compact"/>
              <w:jc w:val="left"/>
            </w:pPr>
            <w:r>
              <w:t xml:space="preserve">Tunnel</w:t>
            </w:r>
          </w:p>
        </w:tc>
        <w:tc>
          <w:p>
            <w:pPr>
              <w:pStyle w:val="Compact"/>
              <w:jc w:val="left"/>
            </w:pPr>
            <w:r>
              <w:t xml:space="preserve">DOC (mg/L)</w:t>
            </w:r>
          </w:p>
        </w:tc>
        <w:tc>
          <w:p>
            <w:pPr>
              <w:pStyle w:val="Compact"/>
              <w:jc w:val="right"/>
            </w:pPr>
            <w:r>
              <w:t xml:space="preserve">0.0810</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Heading3"/>
      </w:pPr>
      <w:bookmarkStart w:id="80" w:name="seasonal-trends"/>
      <w:r>
        <w:t xml:space="preserve">Seasonal trends</w:t>
      </w:r>
      <w:bookmarkEnd w:id="80"/>
    </w:p>
    <w:p>
      <w:pPr>
        <w:pStyle w:val="FirstParagraph"/>
      </w:pPr>
      <w:r>
        <w:t xml:space="preserve">Overall, DOC concentrations were higher through the wet season compared to the dry season (Figure</w:t>
      </w:r>
      <w:r>
        <w:t xml:space="preserve"> </w:t>
      </w:r>
      <w:r>
        <w:t xml:space="preserve">18</w:t>
      </w:r>
      <w:r>
        <w:t xml:space="preserve"> </w:t>
      </w:r>
      <w:r>
        <w:t xml:space="preserve">&amp; Figure</w:t>
      </w:r>
      <w:r>
        <w:t xml:space="preserve"> </w:t>
      </w:r>
      <w:r>
        <w:t xml:space="preserve">19</w:t>
      </w:r>
      <w:r>
        <w:t xml:space="preserve">). Sample results across the LWSA catchments are summarized by season in Table</w:t>
      </w:r>
      <w:r>
        <w:t xml:space="preserve"> </w:t>
      </w:r>
      <w:r>
        <w:t xml:space="preserve">13</w:t>
      </w:r>
      <w:r>
        <w:t xml:space="preserve">.</w:t>
      </w:r>
    </w:p>
    <w:p>
      <w:pPr>
        <w:pStyle w:val="BodyText"/>
      </w:pPr>
      <w:r>
        <w:t xml:space="preserve"> </w:t>
      </w:r>
    </w:p>
    <w:p>
      <w:pPr>
        <w:pStyle w:val="CaptionedFigure"/>
      </w:pPr>
      <w:r>
        <w:drawing>
          <wp:inline>
            <wp:extent cx="5504749" cy="3211103"/>
            <wp:effectExtent b="0" l="0" r="0" t="0"/>
            <wp:docPr descr="Figure 18:  Boxplots of DOC concentrations at six LWSA sites during dry season (n = 53) and wet season (n = 314)." title="" id="1" name="Picture"/>
            <a:graphic>
              <a:graphicData uri="http://schemas.openxmlformats.org/drawingml/2006/picture">
                <pic:pic>
                  <pic:nvPicPr>
                    <pic:cNvPr descr="R-outputs_UBC-forWater-MSc_HMc/figures/DOC_seasonal-subbasin_boxplots.png" id="0" name="Picture"/>
                    <pic:cNvPicPr>
                      <a:picLocks noChangeArrowheads="1" noChangeAspect="1"/>
                    </pic:cNvPicPr>
                  </pic:nvPicPr>
                  <pic:blipFill>
                    <a:blip r:embed="rId81"/>
                    <a:stretch>
                      <a:fillRect/>
                    </a:stretch>
                  </pic:blipFill>
                  <pic:spPr bwMode="auto">
                    <a:xfrm>
                      <a:off x="0" y="0"/>
                      <a:ext cx="5504749" cy="3211103"/>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Boxplots of DOC concentrations at six LWSA sites during dry season (n = 53) and wet season (n = 314).</w:t>
      </w:r>
    </w:p>
    <w:p>
      <w:pPr>
        <w:pStyle w:val="BodyText"/>
      </w:pPr>
      <w:r>
        <w:t xml:space="preserve"> </w:t>
      </w:r>
    </w:p>
    <w:p>
      <w:pPr>
        <w:pStyle w:val="CaptionedFigure"/>
      </w:pPr>
      <w:r>
        <w:drawing>
          <wp:inline>
            <wp:extent cx="5943600" cy="3668888"/>
            <wp:effectExtent b="0" l="0" r="0" t="0"/>
            <wp:docPr descr="Figure 19:  Density distribution of dissolved organic carbon concentrations at six sites over sixteen months across the Leech water supply area, where sample results are grouped by dry season (n = 53) and wet season (n = 314)." title="" id="1" name="Picture"/>
            <a:graphic>
              <a:graphicData uri="http://schemas.openxmlformats.org/drawingml/2006/picture">
                <pic:pic>
                  <pic:nvPicPr>
                    <pic:cNvPr descr="R-outputs_UBC-forWater-MSc_HMc/figures/DOC_seasonal-subbasin-ridgeplot.png" id="0" name="Picture"/>
                    <pic:cNvPicPr>
                      <a:picLocks noChangeArrowheads="1" noChangeAspect="1"/>
                    </pic:cNvPicPr>
                  </pic:nvPicPr>
                  <pic:blipFill>
                    <a:blip r:embed="rId8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Density distribution of dissolved organic carbon concentrations at six sites over sixteen months across the Leech water supply area, where sample results are grouped by dry season (n = 53) and wet season (n = 314).</w:t>
      </w:r>
    </w:p>
    <w:p>
      <w:pPr>
        <w:pStyle w:val="BodyText"/>
      </w:pPr>
      <w:r>
        <w:t xml:space="preserve"> </w:t>
      </w:r>
    </w:p>
    <w:p>
      <w:pPr>
        <w:pStyle w:val="TableCaption"/>
      </w:pPr>
      <w:r>
        <w:t xml:space="preserve">Table 13: Seasonal summary of samples collected across LWSA subbasin sites</w:t>
      </w:r>
    </w:p>
    <w:tbl>
      <w:tblPr>
        <w:tblStyle w:val="Table"/>
        <w:tblW w:type="pct" w:w="0.0"/>
        <w:tblLook w:firstRow="1"/>
        <w:tblCaption w:val="Table 13: Seasonal summary of samples collected across LWSA subbas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dry</w:t>
            </w:r>
          </w:p>
        </w:tc>
        <w:tc>
          <w:p>
            <w:pPr>
              <w:pStyle w:val="Compact"/>
              <w:jc w:val="right"/>
            </w:pPr>
            <w:r>
              <w:t xml:space="preserve">7</w:t>
            </w:r>
          </w:p>
        </w:tc>
        <w:tc>
          <w:p>
            <w:pPr>
              <w:pStyle w:val="Compact"/>
              <w:jc w:val="right"/>
            </w:pPr>
            <w:r>
              <w:t xml:space="preserve">11.1</w:t>
            </w:r>
          </w:p>
        </w:tc>
        <w:tc>
          <w:p>
            <w:pPr>
              <w:pStyle w:val="Compact"/>
              <w:jc w:val="right"/>
            </w:pPr>
            <w:r>
              <w:t xml:space="preserve">2.2</w:t>
            </w:r>
          </w:p>
        </w:tc>
        <w:tc>
          <w:p>
            <w:pPr>
              <w:pStyle w:val="Compact"/>
              <w:jc w:val="right"/>
            </w:pPr>
            <w:r>
              <w:t xml:space="preserve">20</w:t>
            </w:r>
          </w:p>
        </w:tc>
        <w:tc>
          <w:p>
            <w:pPr>
              <w:pStyle w:val="Compact"/>
              <w:jc w:val="right"/>
            </w:pPr>
            <w:r>
              <w:t xml:space="preserve">7.5</w:t>
            </w:r>
          </w:p>
        </w:tc>
        <w:tc>
          <w:p>
            <w:pPr>
              <w:pStyle w:val="Compact"/>
              <w:jc w:val="right"/>
            </w:pPr>
            <w:r>
              <w:t xml:space="preserve">12.0</w:t>
            </w:r>
          </w:p>
        </w:tc>
        <w:tc>
          <w:p>
            <w:pPr>
              <w:pStyle w:val="Compact"/>
              <w:jc w:val="right"/>
            </w:pPr>
            <w:r>
              <w:t xml:space="preserve">13</w:t>
            </w:r>
          </w:p>
        </w:tc>
      </w:tr>
      <w:tr>
        <w:tc>
          <w:p>
            <w:pPr>
              <w:pStyle w:val="Compact"/>
              <w:jc w:val="left"/>
            </w:pPr>
            <w:r>
              <w:t xml:space="preserve">Weeks</w:t>
            </w:r>
          </w:p>
        </w:tc>
        <w:tc>
          <w:p>
            <w:pPr>
              <w:pStyle w:val="Compact"/>
              <w:jc w:val="left"/>
            </w:pPr>
            <w:r>
              <w:t xml:space="preserve">wet</w:t>
            </w:r>
          </w:p>
        </w:tc>
        <w:tc>
          <w:p>
            <w:pPr>
              <w:pStyle w:val="Compact"/>
              <w:jc w:val="right"/>
            </w:pPr>
            <w:r>
              <w:t xml:space="preserve">43</w:t>
            </w:r>
          </w:p>
        </w:tc>
        <w:tc>
          <w:p>
            <w:pPr>
              <w:pStyle w:val="Compact"/>
              <w:jc w:val="right"/>
            </w:pPr>
            <w:r>
              <w:t xml:space="preserve">9.8</w:t>
            </w:r>
          </w:p>
        </w:tc>
        <w:tc>
          <w:p>
            <w:pPr>
              <w:pStyle w:val="Compact"/>
              <w:jc w:val="right"/>
            </w:pPr>
            <w:r>
              <w:t xml:space="preserve">3.6</w:t>
            </w:r>
          </w:p>
        </w:tc>
        <w:tc>
          <w:p>
            <w:pPr>
              <w:pStyle w:val="Compact"/>
              <w:jc w:val="right"/>
            </w:pPr>
            <w:r>
              <w:t xml:space="preserve">36</w:t>
            </w:r>
          </w:p>
        </w:tc>
        <w:tc>
          <w:p>
            <w:pPr>
              <w:pStyle w:val="Compact"/>
              <w:jc w:val="right"/>
            </w:pPr>
            <w:r>
              <w:t xml:space="preserve">3.8</w:t>
            </w:r>
          </w:p>
        </w:tc>
        <w:tc>
          <w:p>
            <w:pPr>
              <w:pStyle w:val="Compact"/>
              <w:jc w:val="right"/>
            </w:pPr>
            <w:r>
              <w:t xml:space="preserve">9.2</w:t>
            </w:r>
          </w:p>
        </w:tc>
        <w:tc>
          <w:p>
            <w:pPr>
              <w:pStyle w:val="Compact"/>
              <w:jc w:val="right"/>
            </w:pPr>
            <w:r>
              <w:t xml:space="preserve">19</w:t>
            </w:r>
          </w:p>
        </w:tc>
      </w:tr>
      <w:tr>
        <w:tc>
          <w:p>
            <w:pPr>
              <w:pStyle w:val="Compact"/>
              <w:jc w:val="left"/>
            </w:pPr>
            <w:r>
              <w:t xml:space="preserve">Weeks</w:t>
            </w:r>
          </w:p>
        </w:tc>
        <w:tc>
          <w:p>
            <w:pPr>
              <w:pStyle w:val="Compact"/>
              <w:jc w:val="left"/>
            </w:pPr>
            <w:r>
              <w:t xml:space="preserve">all</w:t>
            </w:r>
          </w:p>
        </w:tc>
        <w:tc>
          <w:p>
            <w:pPr>
              <w:pStyle w:val="Compact"/>
              <w:jc w:val="right"/>
            </w:pPr>
            <w:r>
              <w:t xml:space="preserve">50</w:t>
            </w:r>
          </w:p>
        </w:tc>
        <w:tc>
          <w:p>
            <w:pPr>
              <w:pStyle w:val="Compact"/>
              <w:jc w:val="right"/>
            </w:pPr>
            <w:r>
              <w:t xml:space="preserve">10.0</w:t>
            </w:r>
          </w:p>
        </w:tc>
        <w:tc>
          <w:p>
            <w:pPr>
              <w:pStyle w:val="Compact"/>
              <w:jc w:val="right"/>
            </w:pPr>
            <w:r>
              <w:t xml:space="preserve">3.4</w:t>
            </w:r>
          </w:p>
        </w:tc>
        <w:tc>
          <w:p>
            <w:pPr>
              <w:pStyle w:val="Compact"/>
              <w:jc w:val="right"/>
            </w:pPr>
            <w:r>
              <w:t xml:space="preserve">34</w:t>
            </w:r>
          </w:p>
        </w:tc>
        <w:tc>
          <w:p>
            <w:pPr>
              <w:pStyle w:val="Compact"/>
              <w:jc w:val="right"/>
            </w:pPr>
            <w:r>
              <w:t xml:space="preserve">3.8</w:t>
            </w:r>
          </w:p>
        </w:tc>
        <w:tc>
          <w:p>
            <w:pPr>
              <w:pStyle w:val="Compact"/>
              <w:jc w:val="right"/>
            </w:pPr>
            <w:r>
              <w:t xml:space="preserve">9.7</w:t>
            </w:r>
          </w:p>
        </w:tc>
        <w:tc>
          <w:p>
            <w:pPr>
              <w:pStyle w:val="Compact"/>
              <w:jc w:val="right"/>
            </w:pPr>
            <w:r>
              <w:t xml:space="preserve">19</w:t>
            </w:r>
          </w:p>
        </w:tc>
      </w:tr>
      <w:tr>
        <w:tc>
          <w:p>
            <w:pPr>
              <w:pStyle w:val="Compact"/>
              <w:jc w:val="left"/>
            </w:pPr>
            <w:r>
              <w:t xml:space="preserve">ChrisCrk</w:t>
            </w:r>
          </w:p>
        </w:tc>
        <w:tc>
          <w:p>
            <w:pPr>
              <w:pStyle w:val="Compact"/>
              <w:jc w:val="left"/>
            </w:pPr>
            <w:r>
              <w:t xml:space="preserve">dry</w:t>
            </w:r>
          </w:p>
        </w:tc>
        <w:tc>
          <w:p>
            <w:pPr>
              <w:pStyle w:val="Compact"/>
              <w:jc w:val="right"/>
            </w:pPr>
            <w:r>
              <w:t xml:space="preserve">7</w:t>
            </w:r>
          </w:p>
        </w:tc>
        <w:tc>
          <w:p>
            <w:pPr>
              <w:pStyle w:val="Compact"/>
              <w:jc w:val="right"/>
            </w:pPr>
            <w:r>
              <w:t xml:space="preserve">5.9</w:t>
            </w:r>
          </w:p>
        </w:tc>
        <w:tc>
          <w:p>
            <w:pPr>
              <w:pStyle w:val="Compact"/>
              <w:jc w:val="right"/>
            </w:pPr>
            <w:r>
              <w:t xml:space="preserve">2.0</w:t>
            </w:r>
          </w:p>
        </w:tc>
        <w:tc>
          <w:p>
            <w:pPr>
              <w:pStyle w:val="Compact"/>
              <w:jc w:val="right"/>
            </w:pPr>
            <w:r>
              <w:t xml:space="preserve">33</w:t>
            </w:r>
          </w:p>
        </w:tc>
        <w:tc>
          <w:p>
            <w:pPr>
              <w:pStyle w:val="Compact"/>
              <w:jc w:val="right"/>
            </w:pPr>
            <w:r>
              <w:t xml:space="preserve">1.9</w:t>
            </w:r>
          </w:p>
        </w:tc>
        <w:tc>
          <w:p>
            <w:pPr>
              <w:pStyle w:val="Compact"/>
              <w:jc w:val="right"/>
            </w:pPr>
            <w:r>
              <w:t xml:space="preserve">6.3</w:t>
            </w:r>
          </w:p>
        </w:tc>
        <w:tc>
          <w:p>
            <w:pPr>
              <w:pStyle w:val="Compact"/>
              <w:jc w:val="right"/>
            </w:pPr>
            <w:r>
              <w:t xml:space="preserve">8</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43</w:t>
            </w:r>
          </w:p>
        </w:tc>
        <w:tc>
          <w:p>
            <w:pPr>
              <w:pStyle w:val="Compact"/>
              <w:jc w:val="right"/>
            </w:pPr>
            <w:r>
              <w:t xml:space="preserve">1.8</w:t>
            </w:r>
          </w:p>
        </w:tc>
        <w:tc>
          <w:p>
            <w:pPr>
              <w:pStyle w:val="Compact"/>
              <w:jc w:val="right"/>
            </w:pPr>
            <w:r>
              <w:t xml:space="preserve">4.5</w:t>
            </w:r>
          </w:p>
        </w:tc>
        <w:tc>
          <w:p>
            <w:pPr>
              <w:pStyle w:val="Compact"/>
              <w:jc w:val="right"/>
            </w:pPr>
            <w:r>
              <w:t xml:space="preserve">9</w:t>
            </w:r>
          </w:p>
        </w:tc>
      </w:tr>
      <w:tr>
        <w:tc>
          <w:p>
            <w:pPr>
              <w:pStyle w:val="Compact"/>
              <w:jc w:val="left"/>
            </w:pPr>
            <w:r>
              <w:t xml:space="preserve">ChrisCrk</w:t>
            </w:r>
          </w:p>
        </w:tc>
        <w:tc>
          <w:p>
            <w:pPr>
              <w:pStyle w:val="Compact"/>
              <w:jc w:val="left"/>
            </w:pPr>
            <w:r>
              <w:t xml:space="preserve">all</w:t>
            </w:r>
          </w:p>
        </w:tc>
        <w:tc>
          <w:p>
            <w:pPr>
              <w:pStyle w:val="Compact"/>
              <w:jc w:val="right"/>
            </w:pPr>
            <w:r>
              <w:t xml:space="preserve">44</w:t>
            </w:r>
          </w:p>
        </w:tc>
        <w:tc>
          <w:p>
            <w:pPr>
              <w:pStyle w:val="Compact"/>
              <w:jc w:val="right"/>
            </w:pPr>
            <w:r>
              <w:t xml:space="preserve">5.0</w:t>
            </w:r>
          </w:p>
        </w:tc>
        <w:tc>
          <w:p>
            <w:pPr>
              <w:pStyle w:val="Compact"/>
              <w:jc w:val="right"/>
            </w:pPr>
            <w:r>
              <w:t xml:space="preserve">2.0</w:t>
            </w:r>
          </w:p>
        </w:tc>
        <w:tc>
          <w:p>
            <w:pPr>
              <w:pStyle w:val="Compact"/>
              <w:jc w:val="right"/>
            </w:pPr>
            <w:r>
              <w:t xml:space="preserve">41</w:t>
            </w:r>
          </w:p>
        </w:tc>
        <w:tc>
          <w:p>
            <w:pPr>
              <w:pStyle w:val="Compact"/>
              <w:jc w:val="right"/>
            </w:pPr>
            <w:r>
              <w:t xml:space="preserve">1.8</w:t>
            </w:r>
          </w:p>
        </w:tc>
        <w:tc>
          <w:p>
            <w:pPr>
              <w:pStyle w:val="Compact"/>
              <w:jc w:val="right"/>
            </w:pPr>
            <w:r>
              <w:t xml:space="preserve">4.8</w:t>
            </w:r>
          </w:p>
        </w:tc>
        <w:tc>
          <w:p>
            <w:pPr>
              <w:pStyle w:val="Compact"/>
              <w:jc w:val="right"/>
            </w:pPr>
            <w:r>
              <w:t xml:space="preserve">9</w:t>
            </w:r>
          </w:p>
        </w:tc>
      </w:tr>
      <w:tr>
        <w:tc>
          <w:p>
            <w:pPr>
              <w:pStyle w:val="Compact"/>
              <w:jc w:val="left"/>
            </w:pPr>
            <w:r>
              <w:t xml:space="preserve">LeechHead</w:t>
            </w:r>
          </w:p>
        </w:tc>
        <w:tc>
          <w:p>
            <w:pPr>
              <w:pStyle w:val="Compact"/>
              <w:jc w:val="left"/>
            </w:pPr>
            <w:r>
              <w:t xml:space="preserve">dry</w:t>
            </w:r>
          </w:p>
        </w:tc>
        <w:tc>
          <w:p>
            <w:pPr>
              <w:pStyle w:val="Compact"/>
              <w:jc w:val="right"/>
            </w:pPr>
            <w:r>
              <w:t xml:space="preserve">8</w:t>
            </w:r>
          </w:p>
        </w:tc>
        <w:tc>
          <w:p>
            <w:pPr>
              <w:pStyle w:val="Compact"/>
              <w:jc w:val="right"/>
            </w:pPr>
            <w:r>
              <w:t xml:space="preserve">6.2</w:t>
            </w:r>
          </w:p>
        </w:tc>
        <w:tc>
          <w:p>
            <w:pPr>
              <w:pStyle w:val="Compact"/>
              <w:jc w:val="right"/>
            </w:pPr>
            <w:r>
              <w:t xml:space="preserve">1.0</w:t>
            </w:r>
          </w:p>
        </w:tc>
        <w:tc>
          <w:p>
            <w:pPr>
              <w:pStyle w:val="Compact"/>
              <w:jc w:val="right"/>
            </w:pPr>
            <w:r>
              <w:t xml:space="preserve">16</w:t>
            </w:r>
          </w:p>
        </w:tc>
        <w:tc>
          <w:p>
            <w:pPr>
              <w:pStyle w:val="Compact"/>
              <w:jc w:val="right"/>
            </w:pPr>
            <w:r>
              <w:t xml:space="preserve">4.0</w:t>
            </w:r>
          </w:p>
        </w:tc>
        <w:tc>
          <w:p>
            <w:pPr>
              <w:pStyle w:val="Compact"/>
              <w:jc w:val="right"/>
            </w:pPr>
            <w:r>
              <w:t xml:space="preserve">6.5</w:t>
            </w:r>
          </w:p>
        </w:tc>
        <w:tc>
          <w:p>
            <w:pPr>
              <w:pStyle w:val="Compact"/>
              <w:jc w:val="right"/>
            </w:pPr>
            <w:r>
              <w:t xml:space="preserve">7</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w:t>
            </w:r>
          </w:p>
        </w:tc>
        <w:tc>
          <w:p>
            <w:pPr>
              <w:pStyle w:val="Compact"/>
              <w:jc w:val="right"/>
            </w:pPr>
            <w:r>
              <w:t xml:space="preserve">4.0</w:t>
            </w:r>
          </w:p>
        </w:tc>
        <w:tc>
          <w:p>
            <w:pPr>
              <w:pStyle w:val="Compact"/>
              <w:jc w:val="right"/>
            </w:pPr>
            <w:r>
              <w:t xml:space="preserve">7.1</w:t>
            </w:r>
          </w:p>
        </w:tc>
        <w:tc>
          <w:p>
            <w:pPr>
              <w:pStyle w:val="Compact"/>
              <w:jc w:val="right"/>
            </w:pPr>
            <w:r>
              <w:t xml:space="preserve">12</w:t>
            </w:r>
          </w:p>
        </w:tc>
      </w:tr>
      <w:tr>
        <w:tc>
          <w:p>
            <w:pPr>
              <w:pStyle w:val="Compact"/>
              <w:jc w:val="left"/>
            </w:pPr>
            <w:r>
              <w:t xml:space="preserve">LeechHead</w:t>
            </w:r>
          </w:p>
        </w:tc>
        <w:tc>
          <w:p>
            <w:pPr>
              <w:pStyle w:val="Compact"/>
              <w:jc w:val="left"/>
            </w:pPr>
            <w:r>
              <w:t xml:space="preserve">all</w:t>
            </w:r>
          </w:p>
        </w:tc>
        <w:tc>
          <w:p>
            <w:pPr>
              <w:pStyle w:val="Compact"/>
              <w:jc w:val="right"/>
            </w:pPr>
            <w:r>
              <w:t xml:space="preserve">46</w:t>
            </w:r>
          </w:p>
        </w:tc>
        <w:tc>
          <w:p>
            <w:pPr>
              <w:pStyle w:val="Compact"/>
              <w:jc w:val="right"/>
            </w:pPr>
            <w:r>
              <w:t xml:space="preserve">7.1</w:t>
            </w:r>
          </w:p>
        </w:tc>
        <w:tc>
          <w:p>
            <w:pPr>
              <w:pStyle w:val="Compact"/>
              <w:jc w:val="right"/>
            </w:pPr>
            <w:r>
              <w:t xml:space="preserve">1.7</w:t>
            </w:r>
          </w:p>
        </w:tc>
        <w:tc>
          <w:p>
            <w:pPr>
              <w:pStyle w:val="Compact"/>
              <w:jc w:val="right"/>
            </w:pPr>
            <w:r>
              <w:t xml:space="preserve">24</w:t>
            </w:r>
          </w:p>
        </w:tc>
        <w:tc>
          <w:p>
            <w:pPr>
              <w:pStyle w:val="Compact"/>
              <w:jc w:val="right"/>
            </w:pPr>
            <w:r>
              <w:t xml:space="preserve">4.0</w:t>
            </w:r>
          </w:p>
        </w:tc>
        <w:tc>
          <w:p>
            <w:pPr>
              <w:pStyle w:val="Compact"/>
              <w:jc w:val="right"/>
            </w:pPr>
            <w:r>
              <w:t xml:space="preserve">6.9</w:t>
            </w:r>
          </w:p>
        </w:tc>
        <w:tc>
          <w:p>
            <w:pPr>
              <w:pStyle w:val="Compact"/>
              <w:jc w:val="right"/>
            </w:pPr>
            <w:r>
              <w:t xml:space="preserve">12</w:t>
            </w:r>
          </w:p>
        </w:tc>
      </w:tr>
      <w:tr>
        <w:tc>
          <w:p>
            <w:pPr>
              <w:pStyle w:val="Compact"/>
              <w:jc w:val="left"/>
            </w:pPr>
            <w:r>
              <w:t xml:space="preserve">CraggCrk</w:t>
            </w:r>
          </w:p>
        </w:tc>
        <w:tc>
          <w:p>
            <w:pPr>
              <w:pStyle w:val="Compact"/>
              <w:jc w:val="left"/>
            </w:pPr>
            <w:r>
              <w:t xml:space="preserve">dry</w:t>
            </w:r>
          </w:p>
        </w:tc>
        <w:tc>
          <w:p>
            <w:pPr>
              <w:pStyle w:val="Compact"/>
              <w:jc w:val="right"/>
            </w:pPr>
            <w:r>
              <w:t xml:space="preserve">8</w:t>
            </w:r>
          </w:p>
        </w:tc>
        <w:tc>
          <w:p>
            <w:pPr>
              <w:pStyle w:val="Compact"/>
              <w:jc w:val="right"/>
            </w:pPr>
            <w:r>
              <w:t xml:space="preserve">4.3</w:t>
            </w:r>
          </w:p>
        </w:tc>
        <w:tc>
          <w:p>
            <w:pPr>
              <w:pStyle w:val="Compact"/>
              <w:jc w:val="right"/>
            </w:pPr>
            <w:r>
              <w:t xml:space="preserve">1.2</w:t>
            </w:r>
          </w:p>
        </w:tc>
        <w:tc>
          <w:p>
            <w:pPr>
              <w:pStyle w:val="Compact"/>
              <w:jc w:val="right"/>
            </w:pPr>
            <w:r>
              <w:t xml:space="preserve">28</w:t>
            </w:r>
          </w:p>
        </w:tc>
        <w:tc>
          <w:p>
            <w:pPr>
              <w:pStyle w:val="Compact"/>
              <w:jc w:val="right"/>
            </w:pPr>
            <w:r>
              <w:t xml:space="preserve">1.8</w:t>
            </w:r>
          </w:p>
        </w:tc>
        <w:tc>
          <w:p>
            <w:pPr>
              <w:pStyle w:val="Compact"/>
              <w:jc w:val="right"/>
            </w:pPr>
            <w:r>
              <w:t xml:space="preserve">4.5</w:t>
            </w:r>
          </w:p>
        </w:tc>
        <w:tc>
          <w:p>
            <w:pPr>
              <w:pStyle w:val="Compact"/>
              <w:jc w:val="right"/>
            </w:pPr>
            <w:r>
              <w:t xml:space="preserve">6</w:t>
            </w:r>
          </w:p>
        </w:tc>
      </w:tr>
      <w:tr>
        <w:tc>
          <w:p>
            <w:pPr>
              <w:pStyle w:val="Compact"/>
              <w:jc w:val="left"/>
            </w:pPr>
            <w:r>
              <w:t xml:space="preserve">CraggCrk</w:t>
            </w:r>
          </w:p>
        </w:tc>
        <w:tc>
          <w:p>
            <w:pPr>
              <w:pStyle w:val="Compact"/>
              <w:jc w:val="left"/>
            </w:pPr>
            <w:r>
              <w:t xml:space="preserve">wet</w:t>
            </w:r>
          </w:p>
        </w:tc>
        <w:tc>
          <w:p>
            <w:pPr>
              <w:pStyle w:val="Compact"/>
              <w:jc w:val="right"/>
            </w:pPr>
            <w:r>
              <w:t xml:space="preserve">56</w:t>
            </w:r>
          </w:p>
        </w:tc>
        <w:tc>
          <w:p>
            <w:pPr>
              <w:pStyle w:val="Compact"/>
              <w:jc w:val="right"/>
            </w:pPr>
            <w:r>
              <w:t xml:space="preserve">4.8</w:t>
            </w:r>
          </w:p>
        </w:tc>
        <w:tc>
          <w:p>
            <w:pPr>
              <w:pStyle w:val="Compact"/>
              <w:jc w:val="right"/>
            </w:pPr>
            <w:r>
              <w:t xml:space="preserve">1.5</w:t>
            </w:r>
          </w:p>
        </w:tc>
        <w:tc>
          <w:p>
            <w:pPr>
              <w:pStyle w:val="Compact"/>
              <w:jc w:val="right"/>
            </w:pPr>
            <w:r>
              <w:t xml:space="preserve">32</w:t>
            </w:r>
          </w:p>
        </w:tc>
        <w:tc>
          <w:p>
            <w:pPr>
              <w:pStyle w:val="Compact"/>
              <w:jc w:val="right"/>
            </w:pPr>
            <w:r>
              <w:t xml:space="preserve">2.6</w:t>
            </w:r>
          </w:p>
        </w:tc>
        <w:tc>
          <w:p>
            <w:pPr>
              <w:pStyle w:val="Compact"/>
              <w:jc w:val="right"/>
            </w:pPr>
            <w:r>
              <w:t xml:space="preserve">4.5</w:t>
            </w:r>
          </w:p>
        </w:tc>
        <w:tc>
          <w:p>
            <w:pPr>
              <w:pStyle w:val="Compact"/>
              <w:jc w:val="right"/>
            </w:pPr>
            <w:r>
              <w:t xml:space="preserve">8</w:t>
            </w:r>
          </w:p>
        </w:tc>
      </w:tr>
      <w:tr>
        <w:tc>
          <w:p>
            <w:pPr>
              <w:pStyle w:val="Compact"/>
              <w:jc w:val="left"/>
            </w:pPr>
            <w:r>
              <w:t xml:space="preserve">CraggCrk</w:t>
            </w:r>
          </w:p>
        </w:tc>
        <w:tc>
          <w:p>
            <w:pPr>
              <w:pStyle w:val="Compact"/>
              <w:jc w:val="left"/>
            </w:pPr>
            <w:r>
              <w:t xml:space="preserve">all</w:t>
            </w:r>
          </w:p>
        </w:tc>
        <w:tc>
          <w:p>
            <w:pPr>
              <w:pStyle w:val="Compact"/>
              <w:jc w:val="right"/>
            </w:pPr>
            <w:r>
              <w:t xml:space="preserve">64</w:t>
            </w:r>
          </w:p>
        </w:tc>
        <w:tc>
          <w:p>
            <w:pPr>
              <w:pStyle w:val="Compact"/>
              <w:jc w:val="right"/>
            </w:pPr>
            <w:r>
              <w:t xml:space="preserve">4.7</w:t>
            </w:r>
          </w:p>
        </w:tc>
        <w:tc>
          <w:p>
            <w:pPr>
              <w:pStyle w:val="Compact"/>
              <w:jc w:val="right"/>
            </w:pPr>
            <w:r>
              <w:t xml:space="preserve">1.5</w:t>
            </w:r>
          </w:p>
        </w:tc>
        <w:tc>
          <w:p>
            <w:pPr>
              <w:pStyle w:val="Compact"/>
              <w:jc w:val="right"/>
            </w:pPr>
            <w:r>
              <w:t xml:space="preserve">32</w:t>
            </w:r>
          </w:p>
        </w:tc>
        <w:tc>
          <w:p>
            <w:pPr>
              <w:pStyle w:val="Compact"/>
              <w:jc w:val="right"/>
            </w:pPr>
            <w:r>
              <w:t xml:space="preserve">1.8</w:t>
            </w:r>
          </w:p>
        </w:tc>
        <w:tc>
          <w:p>
            <w:pPr>
              <w:pStyle w:val="Compact"/>
              <w:jc w:val="right"/>
            </w:pPr>
            <w:r>
              <w:t xml:space="preserve">4.5</w:t>
            </w:r>
          </w:p>
        </w:tc>
        <w:tc>
          <w:p>
            <w:pPr>
              <w:pStyle w:val="Compact"/>
              <w:jc w:val="right"/>
            </w:pPr>
            <w:r>
              <w:t xml:space="preserve">8</w:t>
            </w:r>
          </w:p>
        </w:tc>
      </w:tr>
      <w:tr>
        <w:tc>
          <w:p>
            <w:pPr>
              <w:pStyle w:val="Compact"/>
              <w:jc w:val="left"/>
            </w:pPr>
            <w:r>
              <w:t xml:space="preserve">WestLeech</w:t>
            </w:r>
          </w:p>
        </w:tc>
        <w:tc>
          <w:p>
            <w:pPr>
              <w:pStyle w:val="Compact"/>
              <w:jc w:val="left"/>
            </w:pPr>
            <w:r>
              <w:t xml:space="preserve">dry</w:t>
            </w:r>
          </w:p>
        </w:tc>
        <w:tc>
          <w:p>
            <w:pPr>
              <w:pStyle w:val="Compact"/>
              <w:jc w:val="right"/>
            </w:pPr>
            <w:r>
              <w:t xml:space="preserve">7</w:t>
            </w:r>
          </w:p>
        </w:tc>
        <w:tc>
          <w:p>
            <w:pPr>
              <w:pStyle w:val="Compact"/>
              <w:jc w:val="right"/>
            </w:pPr>
            <w:r>
              <w:t xml:space="preserve">4.7</w:t>
            </w:r>
          </w:p>
        </w:tc>
        <w:tc>
          <w:p>
            <w:pPr>
              <w:pStyle w:val="Compact"/>
              <w:jc w:val="right"/>
            </w:pPr>
            <w:r>
              <w:t xml:space="preserve">1.4</w:t>
            </w:r>
          </w:p>
        </w:tc>
        <w:tc>
          <w:p>
            <w:pPr>
              <w:pStyle w:val="Compact"/>
              <w:jc w:val="right"/>
            </w:pPr>
            <w:r>
              <w:t xml:space="preserve">29</w:t>
            </w:r>
          </w:p>
        </w:tc>
        <w:tc>
          <w:p>
            <w:pPr>
              <w:pStyle w:val="Compact"/>
              <w:jc w:val="right"/>
            </w:pPr>
            <w:r>
              <w:t xml:space="preserve">2.0</w:t>
            </w:r>
          </w:p>
        </w:tc>
        <w:tc>
          <w:p>
            <w:pPr>
              <w:pStyle w:val="Compact"/>
              <w:jc w:val="right"/>
            </w:pPr>
            <w:r>
              <w:t xml:space="preserve">4.8</w:t>
            </w:r>
          </w:p>
        </w:tc>
        <w:tc>
          <w:p>
            <w:pPr>
              <w:pStyle w:val="Compact"/>
              <w:jc w:val="right"/>
            </w:pPr>
            <w:r>
              <w:t xml:space="preserve">6</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41</w:t>
            </w:r>
          </w:p>
        </w:tc>
        <w:tc>
          <w:p>
            <w:pPr>
              <w:pStyle w:val="Compact"/>
              <w:jc w:val="right"/>
            </w:pPr>
            <w:r>
              <w:t xml:space="preserve">2.3</w:t>
            </w:r>
          </w:p>
        </w:tc>
        <w:tc>
          <w:p>
            <w:pPr>
              <w:pStyle w:val="Compact"/>
              <w:jc w:val="right"/>
            </w:pPr>
            <w:r>
              <w:t xml:space="preserve">5.6</w:t>
            </w:r>
          </w:p>
        </w:tc>
        <w:tc>
          <w:p>
            <w:pPr>
              <w:pStyle w:val="Compact"/>
              <w:jc w:val="right"/>
            </w:pPr>
            <w:r>
              <w:t xml:space="preserve">11</w:t>
            </w:r>
          </w:p>
        </w:tc>
      </w:tr>
      <w:tr>
        <w:tc>
          <w:p>
            <w:pPr>
              <w:pStyle w:val="Compact"/>
              <w:jc w:val="left"/>
            </w:pPr>
            <w:r>
              <w:t xml:space="preserve">WestLeech</w:t>
            </w:r>
          </w:p>
        </w:tc>
        <w:tc>
          <w:p>
            <w:pPr>
              <w:pStyle w:val="Compact"/>
              <w:jc w:val="left"/>
            </w:pPr>
            <w:r>
              <w:t xml:space="preserve">all</w:t>
            </w:r>
          </w:p>
        </w:tc>
        <w:tc>
          <w:p>
            <w:pPr>
              <w:pStyle w:val="Compact"/>
              <w:jc w:val="right"/>
            </w:pPr>
            <w:r>
              <w:t xml:space="preserve">59</w:t>
            </w:r>
          </w:p>
        </w:tc>
        <w:tc>
          <w:p>
            <w:pPr>
              <w:pStyle w:val="Compact"/>
              <w:jc w:val="right"/>
            </w:pPr>
            <w:r>
              <w:t xml:space="preserve">5.8</w:t>
            </w:r>
          </w:p>
        </w:tc>
        <w:tc>
          <w:p>
            <w:pPr>
              <w:pStyle w:val="Compact"/>
              <w:jc w:val="right"/>
            </w:pPr>
            <w:r>
              <w:t xml:space="preserve">2.3</w:t>
            </w:r>
          </w:p>
        </w:tc>
        <w:tc>
          <w:p>
            <w:pPr>
              <w:pStyle w:val="Compact"/>
              <w:jc w:val="right"/>
            </w:pPr>
            <w:r>
              <w:t xml:space="preserve">40</w:t>
            </w:r>
          </w:p>
        </w:tc>
        <w:tc>
          <w:p>
            <w:pPr>
              <w:pStyle w:val="Compact"/>
              <w:jc w:val="right"/>
            </w:pPr>
            <w:r>
              <w:t xml:space="preserve">2.0</w:t>
            </w:r>
          </w:p>
        </w:tc>
        <w:tc>
          <w:p>
            <w:pPr>
              <w:pStyle w:val="Compact"/>
              <w:jc w:val="right"/>
            </w:pPr>
            <w:r>
              <w:t xml:space="preserve">5.5</w:t>
            </w:r>
          </w:p>
        </w:tc>
        <w:tc>
          <w:p>
            <w:pPr>
              <w:pStyle w:val="Compact"/>
              <w:jc w:val="right"/>
            </w:pPr>
            <w:r>
              <w:t xml:space="preserve">11</w:t>
            </w:r>
          </w:p>
        </w:tc>
      </w:tr>
      <w:tr>
        <w:tc>
          <w:p>
            <w:pPr>
              <w:pStyle w:val="Compact"/>
              <w:jc w:val="left"/>
            </w:pPr>
            <w:r>
              <w:t xml:space="preserve">Tunnel</w:t>
            </w:r>
          </w:p>
        </w:tc>
        <w:tc>
          <w:p>
            <w:pPr>
              <w:pStyle w:val="Compact"/>
              <w:jc w:val="left"/>
            </w:pPr>
            <w:r>
              <w:t xml:space="preserve">dry</w:t>
            </w:r>
          </w:p>
        </w:tc>
        <w:tc>
          <w:p>
            <w:pPr>
              <w:pStyle w:val="Compact"/>
              <w:jc w:val="right"/>
            </w:pPr>
            <w:r>
              <w:t xml:space="preserve">14</w:t>
            </w:r>
          </w:p>
        </w:tc>
        <w:tc>
          <w:p>
            <w:pPr>
              <w:pStyle w:val="Compact"/>
              <w:jc w:val="right"/>
            </w:pPr>
            <w:r>
              <w:t xml:space="preserve">4.2</w:t>
            </w:r>
          </w:p>
        </w:tc>
        <w:tc>
          <w:p>
            <w:pPr>
              <w:pStyle w:val="Compact"/>
              <w:jc w:val="right"/>
            </w:pPr>
            <w:r>
              <w:t xml:space="preserve">2.2</w:t>
            </w:r>
          </w:p>
        </w:tc>
        <w:tc>
          <w:p>
            <w:pPr>
              <w:pStyle w:val="Compact"/>
              <w:jc w:val="right"/>
            </w:pPr>
            <w:r>
              <w:t xml:space="preserve">52</w:t>
            </w:r>
          </w:p>
        </w:tc>
        <w:tc>
          <w:p>
            <w:pPr>
              <w:pStyle w:val="Compact"/>
              <w:jc w:val="right"/>
            </w:pPr>
            <w:r>
              <w:t xml:space="preserve">1.6</w:t>
            </w:r>
          </w:p>
        </w:tc>
        <w:tc>
          <w:p>
            <w:pPr>
              <w:pStyle w:val="Compact"/>
              <w:jc w:val="right"/>
            </w:pPr>
            <w:r>
              <w:t xml:space="preserve">5.3</w:t>
            </w:r>
          </w:p>
        </w:tc>
        <w:tc>
          <w:p>
            <w:pPr>
              <w:pStyle w:val="Compact"/>
              <w:jc w:val="right"/>
            </w:pPr>
            <w:r>
              <w:t xml:space="preserve">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34</w:t>
            </w:r>
          </w:p>
        </w:tc>
        <w:tc>
          <w:p>
            <w:pPr>
              <w:pStyle w:val="Compact"/>
              <w:jc w:val="right"/>
            </w:pPr>
            <w:r>
              <w:t xml:space="preserve">2.2</w:t>
            </w:r>
          </w:p>
        </w:tc>
        <w:tc>
          <w:p>
            <w:pPr>
              <w:pStyle w:val="Compact"/>
              <w:jc w:val="right"/>
            </w:pPr>
            <w:r>
              <w:t xml:space="preserve">5.0</w:t>
            </w:r>
          </w:p>
        </w:tc>
        <w:tc>
          <w:p>
            <w:pPr>
              <w:pStyle w:val="Compact"/>
              <w:jc w:val="right"/>
            </w:pPr>
            <w:r>
              <w:t xml:space="preserve">9</w:t>
            </w:r>
          </w:p>
        </w:tc>
      </w:tr>
      <w:tr>
        <w:tc>
          <w:p>
            <w:pPr>
              <w:pStyle w:val="Compact"/>
              <w:jc w:val="left"/>
            </w:pPr>
            <w:r>
              <w:t xml:space="preserve">Tunnel</w:t>
            </w:r>
          </w:p>
        </w:tc>
        <w:tc>
          <w:p>
            <w:pPr>
              <w:pStyle w:val="Compact"/>
              <w:jc w:val="left"/>
            </w:pPr>
            <w:r>
              <w:t xml:space="preserve">all</w:t>
            </w:r>
          </w:p>
        </w:tc>
        <w:tc>
          <w:p>
            <w:pPr>
              <w:pStyle w:val="Compact"/>
              <w:jc w:val="right"/>
            </w:pPr>
            <w:r>
              <w:t xml:space="preserve">66</w:t>
            </w:r>
          </w:p>
        </w:tc>
        <w:tc>
          <w:p>
            <w:pPr>
              <w:pStyle w:val="Compact"/>
              <w:jc w:val="right"/>
            </w:pPr>
            <w:r>
              <w:t xml:space="preserve">4.8</w:t>
            </w:r>
          </w:p>
        </w:tc>
        <w:tc>
          <w:p>
            <w:pPr>
              <w:pStyle w:val="Compact"/>
              <w:jc w:val="right"/>
            </w:pPr>
            <w:r>
              <w:t xml:space="preserve">1.8</w:t>
            </w:r>
          </w:p>
        </w:tc>
        <w:tc>
          <w:p>
            <w:pPr>
              <w:pStyle w:val="Compact"/>
              <w:jc w:val="right"/>
            </w:pPr>
            <w:r>
              <w:t xml:space="preserve">38</w:t>
            </w:r>
          </w:p>
        </w:tc>
        <w:tc>
          <w:p>
            <w:pPr>
              <w:pStyle w:val="Compact"/>
              <w:jc w:val="right"/>
            </w:pPr>
            <w:r>
              <w:t xml:space="preserve">1.6</w:t>
            </w:r>
          </w:p>
        </w:tc>
        <w:tc>
          <w:p>
            <w:pPr>
              <w:pStyle w:val="Compact"/>
              <w:jc w:val="right"/>
            </w:pPr>
            <w:r>
              <w:t xml:space="preserve">5.0</w:t>
            </w:r>
          </w:p>
        </w:tc>
        <w:tc>
          <w:p>
            <w:pPr>
              <w:pStyle w:val="Compact"/>
              <w:jc w:val="right"/>
            </w:pPr>
            <w:r>
              <w:t xml:space="preserve">9</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329</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w:t>
            </w:r>
          </w:p>
        </w:tc>
        <w:tc>
          <w:p>
            <w:pPr>
              <w:pStyle w:val="Compact"/>
              <w:jc w:val="right"/>
            </w:pPr>
            <w:r>
              <w:t xml:space="preserve">5.6</w:t>
            </w:r>
          </w:p>
        </w:tc>
        <w:tc>
          <w:p>
            <w:pPr>
              <w:pStyle w:val="Compact"/>
              <w:jc w:val="right"/>
            </w:pPr>
            <w:r>
              <w:t xml:space="preserve">19</w:t>
            </w:r>
          </w:p>
        </w:tc>
      </w:tr>
    </w:tbl>
    <w:p>
      <w:pPr>
        <w:pStyle w:val="BodyText"/>
      </w:pPr>
      <w:r>
        <w:t xml:space="preserve"> </w:t>
      </w:r>
    </w:p>
    <w:p>
      <w:pPr>
        <w:pStyle w:val="Heading4"/>
      </w:pPr>
      <w:bookmarkStart w:id="83" w:name="stormflow-representation"/>
      <w:r>
        <w:t xml:space="preserve">Stormflow representation</w:t>
      </w:r>
      <w:bookmarkEnd w:id="83"/>
    </w:p>
    <w:p>
      <w:pPr>
        <w:pStyle w:val="FirstParagraph"/>
      </w:pPr>
      <w:r>
        <w:t xml:space="preserve">During the wet season, rain events are the dominant hydrologic forcing. Table</w:t>
      </w:r>
      <w:r>
        <w:t xml:space="preserve"> </w:t>
      </w:r>
      <w:r>
        <w:t xml:space="preserve">14</w:t>
      </w:r>
      <w:r>
        <w:t xml:space="preserve"> </w:t>
      </w:r>
      <w:r>
        <w:t xml:space="preserve">summarizes the number of samples collected across the LWSA sub-basin sites by sample type.</w:t>
      </w:r>
    </w:p>
    <w:p>
      <w:pPr>
        <w:pStyle w:val="BodyText"/>
      </w:pPr>
      <w:r>
        <w:t xml:space="preserve"> </w:t>
      </w:r>
    </w:p>
    <w:p>
      <w:pPr>
        <w:pStyle w:val="TableCaption"/>
      </w:pPr>
      <w:r>
        <w:t xml:space="preserve">Table 14:</w:t>
      </w:r>
      <w:r>
        <w:t xml:space="preserve"> </w:t>
      </w:r>
      <w:r>
        <w:rPr>
          <w:i/>
        </w:rPr>
        <w:t xml:space="preserve">Summary of wet-season samples collected across LWSA subbasin sites from Oct 2018 to Feb 2020</w:t>
      </w:r>
    </w:p>
    <w:tbl>
      <w:tblPr>
        <w:tblStyle w:val="Table"/>
        <w:tblW w:type="pct" w:w="0.0"/>
        <w:tblLook w:firstRow="1"/>
        <w:tblCaption w:val="Table 14: Summary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r>
      <w:tr>
        <w:tc>
          <w:p>
            <w:pPr>
              <w:pStyle w:val="Compact"/>
              <w:jc w:val="left"/>
            </w:pPr>
            <w:r>
              <w:t xml:space="preserve">NA</w:t>
            </w:r>
          </w:p>
        </w:tc>
        <w:tc>
          <w:p>
            <w:pPr>
              <w:pStyle w:val="Compact"/>
              <w:jc w:val="left"/>
            </w:pPr>
            <w:r>
              <w:t xml:space="preserve">NA</w:t>
            </w:r>
          </w:p>
        </w:tc>
        <w:tc>
          <w:p>
            <w:pPr>
              <w:pStyle w:val="Compact"/>
              <w:jc w:val="right"/>
            </w:pPr>
            <w:r>
              <w:t xml:space="preserve">0</w:t>
            </w:r>
          </w:p>
        </w:tc>
      </w:tr>
      <w:tr>
        <w:tc>
          <w:p>
            <w:pPr>
              <w:pStyle w:val="Compact"/>
              <w:jc w:val="left"/>
            </w:pPr>
            <w:r>
              <w:t xml:space="preserve">TOTAL</w:t>
            </w:r>
          </w:p>
        </w:tc>
        <w:tc>
          <w:p>
            <w:pPr>
              <w:pStyle w:val="Compact"/>
              <w:jc w:val="left"/>
            </w:pPr>
            <w:r>
              <w:t xml:space="preserve">NA</w:t>
            </w:r>
          </w:p>
        </w:tc>
        <w:tc>
          <w:p>
            <w:pPr>
              <w:pStyle w:val="Compact"/>
              <w:jc w:val="right"/>
            </w:pPr>
            <w:r>
              <w:t xml:space="preserve">0</w:t>
            </w:r>
          </w:p>
        </w:tc>
      </w:tr>
      <w:tr>
        <w:tc>
          <w:p>
            <w:pPr>
              <w:pStyle w:val="Compact"/>
              <w:jc w:val="left"/>
            </w:pPr>
            <w:r>
              <w:t xml:space="preserve">TOTAL</w:t>
            </w:r>
          </w:p>
        </w:tc>
        <w:tc>
          <w:p>
            <w:pPr>
              <w:pStyle w:val="Compact"/>
              <w:jc w:val="left"/>
            </w:pPr>
            <w:r>
              <w:t xml:space="preserve">NA</w:t>
            </w:r>
          </w:p>
        </w:tc>
        <w:tc>
          <w:p>
            <w:pPr>
              <w:pStyle w:val="Compact"/>
              <w:jc w:val="right"/>
            </w:pPr>
            <w:r>
              <w:t xml:space="preserve">0</w:t>
            </w:r>
          </w:p>
        </w:tc>
      </w:tr>
    </w:tbl>
    <w:p>
      <w:pPr>
        <w:pStyle w:val="BodyText"/>
      </w:pPr>
      <w:r>
        <w:t xml:space="preserve"> </w:t>
      </w:r>
    </w:p>
    <w:p>
      <w:pPr>
        <w:pStyle w:val="BodyText"/>
      </w:pPr>
      <w:r>
        <w:t xml:space="preserve">Stormflow samples collected during stream rise via vertical Racks showed higher DOC than Grab samples manually collected across wet seasons (Figure</w:t>
      </w:r>
      <w:r>
        <w:t xml:space="preserve"> </w:t>
      </w:r>
      <w:r>
        <w:t xml:space="preserve">20</w:t>
      </w:r>
      <w:r>
        <w:t xml:space="preserve"> </w:t>
      </w:r>
      <w:r>
        <w:t xml:space="preserve">&amp;</w:t>
      </w:r>
      <w:r>
        <w:t xml:space="preserve"> </w:t>
      </w:r>
      <w:r>
        <w:t xml:space="preserve">21</w:t>
      </w:r>
      <w:r>
        <w:t xml:space="preserve">). Results of wet-season sample analysis are summarized in Table</w:t>
      </w:r>
      <w:r>
        <w:t xml:space="preserve"> </w:t>
      </w:r>
      <w:r>
        <w:t xml:space="preserve">15</w:t>
      </w:r>
      <w:r>
        <w:t xml:space="preserve">.</w:t>
      </w:r>
    </w:p>
    <w:p>
      <w:pPr>
        <w:pStyle w:val="BodyText"/>
      </w:pPr>
      <w:r>
        <w:t xml:space="preserve"> </w:t>
      </w:r>
    </w:p>
    <w:p>
      <w:pPr>
        <w:pStyle w:val="CaptionedFigure"/>
      </w:pPr>
      <w:r>
        <w:drawing>
          <wp:inline>
            <wp:extent cx="5943600" cy="3668888"/>
            <wp:effectExtent b="0" l="0" r="0" t="0"/>
            <wp:docPr descr="Figure 20:  Wet-season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8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Wet-season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CaptionedFigure"/>
      </w:pPr>
      <w:r>
        <w:drawing>
          <wp:inline>
            <wp:extent cx="5943600" cy="3668888"/>
            <wp:effectExtent b="0" l="0" r="0" t="0"/>
            <wp:docPr descr="Figure 21:  Density distribution of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ridgeplot_GvsR.png" id="0" name="Picture"/>
                    <pic:cNvPicPr>
                      <a:picLocks noChangeArrowheads="1" noChangeAspect="1"/>
                    </pic:cNvPicPr>
                  </pic:nvPicPr>
                  <pic:blipFill>
                    <a:blip r:embed="rId8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Density distribution of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TableCaption"/>
      </w:pPr>
      <w:r>
        <w:t xml:space="preserve">Table 15:</w:t>
      </w:r>
      <w:r>
        <w:t xml:space="preserve"> </w:t>
      </w:r>
      <w:r>
        <w:rPr>
          <w:i/>
        </w:rPr>
        <w:t xml:space="preserve">Results of wet-season samples collected across LWSA subbasin sites from Oct 2018 to Feb 2020</w:t>
      </w:r>
    </w:p>
    <w:tbl>
      <w:tblPr>
        <w:tblStyle w:val="Table"/>
        <w:tblW w:type="pct" w:w="0.0"/>
        <w:tblLook w:firstRow="1"/>
        <w:tblCaption w:val="Table 15: Results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mean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w:t>
            </w:r>
          </w:p>
        </w:tc>
        <w:tc>
          <w:tcPr>
            <w:tcBorders>
              <w:bottom w:val="single"/>
            </w:tcBorders>
            <w:vAlign w:val="bottom"/>
          </w:tcPr>
          <w:p>
            <w:pPr>
              <w:pStyle w:val="Compact"/>
              <w:jc w:val="right"/>
            </w:pPr>
            <w:r>
              <w:t xml:space="preserve">max DOC</w:t>
            </w:r>
          </w:p>
        </w:tc>
      </w:tr>
      <w:tr>
        <w:tc>
          <w:p>
            <w:pPr>
              <w:pStyle w:val="Compact"/>
              <w:jc w:val="left"/>
            </w:pPr>
            <w:r>
              <w:t xml:space="preserve">Weeks</w:t>
            </w:r>
          </w:p>
        </w:tc>
        <w:tc>
          <w:p>
            <w:pPr>
              <w:pStyle w:val="Compact"/>
              <w:jc w:val="left"/>
            </w:pPr>
            <w:r>
              <w:t xml:space="preserve">Grab</w:t>
            </w:r>
          </w:p>
        </w:tc>
        <w:tc>
          <w:p>
            <w:pPr>
              <w:pStyle w:val="Compact"/>
              <w:jc w:val="right"/>
            </w:pPr>
            <w:r>
              <w:t xml:space="preserve">9.1</w:t>
            </w:r>
          </w:p>
        </w:tc>
        <w:tc>
          <w:p>
            <w:pPr>
              <w:pStyle w:val="Compact"/>
              <w:jc w:val="right"/>
            </w:pPr>
            <w:r>
              <w:t xml:space="preserve">3.2</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10.1</w:t>
            </w:r>
          </w:p>
        </w:tc>
        <w:tc>
          <w:p>
            <w:pPr>
              <w:pStyle w:val="Compact"/>
              <w:jc w:val="right"/>
            </w:pPr>
            <w:r>
              <w:t xml:space="preserve">4.0</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3.6</w:t>
            </w:r>
          </w:p>
        </w:tc>
        <w:tc>
          <w:p>
            <w:pPr>
              <w:pStyle w:val="Compact"/>
              <w:jc w:val="right"/>
            </w:pPr>
            <w:r>
              <w:t xml:space="preserve">1.9</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5.3</w:t>
            </w:r>
          </w:p>
        </w:tc>
        <w:tc>
          <w:p>
            <w:pPr>
              <w:pStyle w:val="Compact"/>
              <w:jc w:val="right"/>
            </w:pPr>
            <w:r>
              <w:t xml:space="preserve">1.8</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7.1</w:t>
            </w:r>
          </w:p>
        </w:tc>
        <w:tc>
          <w:p>
            <w:pPr>
              <w:pStyle w:val="Compact"/>
              <w:jc w:val="right"/>
            </w:pPr>
            <w:r>
              <w:t xml:space="preserve">1.9</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7.3</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4.1</w:t>
            </w:r>
          </w:p>
        </w:tc>
        <w:tc>
          <w:p>
            <w:pPr>
              <w:pStyle w:val="Compact"/>
              <w:jc w:val="right"/>
            </w:pPr>
            <w:r>
              <w:t xml:space="preserve">1.3</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5.2</w:t>
            </w:r>
          </w:p>
        </w:tc>
        <w:tc>
          <w:p>
            <w:pPr>
              <w:pStyle w:val="Compact"/>
              <w:jc w:val="right"/>
            </w:pPr>
            <w:r>
              <w:t xml:space="preserve">1.5</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4.1</w:t>
            </w:r>
          </w:p>
        </w:tc>
        <w:tc>
          <w:p>
            <w:pPr>
              <w:pStyle w:val="Compact"/>
              <w:jc w:val="right"/>
            </w:pPr>
            <w:r>
              <w:t xml:space="preserve">1.8</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6.3</w:t>
            </w:r>
          </w:p>
        </w:tc>
        <w:tc>
          <w:p>
            <w:pPr>
              <w:pStyle w:val="Compact"/>
              <w:jc w:val="right"/>
            </w:pPr>
            <w:r>
              <w:t xml:space="preserve">2.2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4.3</w:t>
            </w:r>
          </w:p>
        </w:tc>
        <w:tc>
          <w:p>
            <w:pPr>
              <w:pStyle w:val="Compact"/>
              <w:jc w:val="right"/>
            </w:pPr>
            <w:r>
              <w:t xml:space="preserve">1.5</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5.4</w:t>
            </w:r>
          </w:p>
        </w:tc>
        <w:tc>
          <w:p>
            <w:pPr>
              <w:pStyle w:val="Compact"/>
              <w:jc w:val="right"/>
            </w:pPr>
            <w:r>
              <w:t xml:space="preserve">1.6</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bl>
    <w:p>
      <w:pPr>
        <w:pStyle w:val="BodyText"/>
      </w:pPr>
      <w:r>
        <w:t xml:space="preserve"> </w:t>
      </w:r>
    </w:p>
    <w:p>
      <w:pPr>
        <w:pStyle w:val="Heading3"/>
      </w:pPr>
      <w:bookmarkStart w:id="86" w:name="X01c97e7c0051c30bc01f4516b13f2118c3f5dec"/>
      <w:r>
        <w:t xml:space="preserve">Rising limb – hydrologic versus supply controls on export</w:t>
      </w:r>
      <w:bookmarkEnd w:id="86"/>
    </w:p>
    <w:p>
      <w:pPr>
        <w:pStyle w:val="FirstParagraph"/>
      </w:pPr>
      <w:r>
        <w:t xml:space="preserve">Figure</w:t>
      </w:r>
      <w:r>
        <w:t xml:space="preserve"> </w:t>
      </w:r>
      <w:r>
        <w:t xml:space="preserve">22</w:t>
      </w:r>
      <w:r>
        <w:t xml:space="preserve"> </w:t>
      </w:r>
      <w:r>
        <w:t xml:space="preserve">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pPr>
        <w:pStyle w:val="CaptionedFigure"/>
      </w:pPr>
      <w:r>
        <w:drawing>
          <wp:inline>
            <wp:extent cx="5504749" cy="7339665"/>
            <wp:effectExtent b="0" l="0" r="0" t="0"/>
            <wp:docPr descr="Figure 22: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87"/>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DOC concentration trends in rising limb samples categorized by rain events</w:t>
      </w:r>
    </w:p>
    <w:p>
      <w:pPr>
        <w:pStyle w:val="Heading3"/>
      </w:pPr>
      <w:bookmarkStart w:id="88" w:name="Xce8fa8365ce60c173c7cf963ead1de6f5cbd7c4"/>
      <w:r>
        <w:t xml:space="preserve">DOC association with other water quality parameters</w:t>
      </w:r>
      <w:bookmarkEnd w:id="88"/>
    </w:p>
    <w:p>
      <w:pPr>
        <w:pStyle w:val="Heading4"/>
      </w:pPr>
      <w:bookmarkStart w:id="89" w:name="metals-doc"/>
      <w:r>
        <w:t xml:space="preserve">Metals &amp; DOC</w:t>
      </w:r>
      <w:bookmarkEnd w:id="89"/>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23</w:t>
      </w:r>
      <w:r>
        <w:t xml:space="preserve"> </w:t>
      </w:r>
      <w:r>
        <w:t xml:space="preserve">shows DOC with total metals in μg/L, and Figure</w:t>
      </w:r>
      <w:r>
        <w:t xml:space="preserve"> </w:t>
      </w:r>
      <w:r>
        <w:t xml:space="preserve">24</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3: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9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24: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9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16</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16:</w:t>
      </w:r>
      <w:r>
        <w:t xml:space="preserve"> </w:t>
      </w:r>
      <w:r>
        <w:rPr>
          <w:i/>
        </w:rPr>
        <w:t xml:space="preserve">Relationships between total metals with dissolved organic carbon</w:t>
      </w:r>
    </w:p>
    <w:tbl>
      <w:tblPr>
        <w:tblStyle w:val="Table"/>
        <w:tblW w:type="pct" w:w="0.0"/>
        <w:tblLook w:firstRow="1"/>
        <w:tblCaption w:val="Table 16: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4"/>
      </w:pPr>
      <w:bookmarkStart w:id="92" w:name="nitrate-doc"/>
      <w:r>
        <w:t xml:space="preserve">Nitrate &amp; DOC</w:t>
      </w:r>
      <w:bookmarkEnd w:id="92"/>
    </w:p>
    <w:p>
      <w:pPr>
        <w:pStyle w:val="FirstParagraph"/>
      </w:pPr>
      <w:r>
        <w:t xml:space="preserve">Each sample that was analyzed on the Spectrolyser resulted in an estimate of DOC and nitrate concentrations based on sample UV-Vis light absorption. Estimated concentrations of nitrate were positively related to DOC concentration (Figure</w:t>
      </w:r>
      <w:r>
        <w:t xml:space="preserve"> </w:t>
      </w:r>
      <w:r>
        <w:t xml:space="preserve">25</w:t>
      </w:r>
      <w:r>
        <w:t xml:space="preserve">).</w:t>
      </w:r>
    </w:p>
    <w:p>
      <w:pPr>
        <w:pStyle w:val="BodyText"/>
      </w:pPr>
      <w:r>
        <w:t xml:space="preserve"> </w:t>
      </w:r>
    </w:p>
    <w:p>
      <w:pPr>
        <w:pStyle w:val="CaptionedFigure"/>
      </w:pPr>
      <w:r>
        <w:drawing>
          <wp:inline>
            <wp:extent cx="5943600" cy="3668888"/>
            <wp:effectExtent b="0" l="0" r="0" t="0"/>
            <wp:docPr descr="Figure 25: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9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t xml:space="preserve">UV absorbance based estimations of DOC concentration were more strongly correlated to nitrate estimates (Figure</w:t>
      </w:r>
      <w:r>
        <w:t xml:space="preserve"> </w:t>
      </w:r>
      <w:r>
        <w:t xml:space="preserve">26</w:t>
      </w:r>
      <w:r>
        <w:t xml:space="preserve">).</w:t>
      </w:r>
    </w:p>
    <w:p>
      <w:pPr>
        <w:pStyle w:val="BodyText"/>
      </w:pPr>
      <w:r>
        <w:t xml:space="preserve"> </w:t>
      </w:r>
    </w:p>
    <w:p>
      <w:pPr>
        <w:pStyle w:val="CaptionedFigure"/>
      </w:pPr>
      <w:r>
        <w:drawing>
          <wp:inline>
            <wp:extent cx="5943600" cy="3668888"/>
            <wp:effectExtent b="0" l="0" r="0" t="0"/>
            <wp:docPr descr="Figure 26:  Concentration of nitrate and dissolved organic carbon, both estimated via UV-Vis absorption." title="" id="1" name="Picture"/>
            <a:graphic>
              <a:graphicData uri="http://schemas.openxmlformats.org/drawingml/2006/picture">
                <pic:pic>
                  <pic:nvPicPr>
                    <pic:cNvPr descr="R-outputs_UBC-forWater-MSc_HMc/figures/nitrate-DOCeq_scatter.png" id="0" name="Picture"/>
                    <pic:cNvPicPr>
                      <a:picLocks noChangeArrowheads="1" noChangeAspect="1"/>
                    </pic:cNvPicPr>
                  </pic:nvPicPr>
                  <pic:blipFill>
                    <a:blip r:embed="rId9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Concentration of nitrate and dissolved organic carbon, both estimated via UV-Vis absorption.</w:t>
      </w:r>
    </w:p>
    <w:p>
      <w:pPr>
        <w:pStyle w:val="BodyText"/>
      </w:pPr>
      <w:r>
        <w:t xml:space="preserve"> </w:t>
      </w:r>
    </w:p>
    <w:p>
      <w:pPr>
        <w:pStyle w:val="Heading4"/>
      </w:pPr>
      <w:bookmarkStart w:id="95" w:name="treatability-doc"/>
      <w:r>
        <w:t xml:space="preserve">Treatability &amp; DOC</w:t>
      </w:r>
      <w:bookmarkEnd w:id="95"/>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27</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943600" cy="7641771"/>
            <wp:effectExtent b="0" l="0" r="0" t="0"/>
            <wp:docPr descr="Figure 27: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96"/>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05"/>
          <w:ilvl w:val="0"/>
        </w:numPr>
      </w:pPr>
      <w:r>
        <w:t xml:space="preserve">TO DO: add comparison of treatability metrics at Tunnel versus Sooke Tribs</w:t>
      </w:r>
    </w:p>
    <w:p>
      <w:pPr>
        <w:pStyle w:val="FirstParagraph"/>
      </w:pPr>
      <w:r>
        <w:t xml:space="preserve"> </w:t>
      </w:r>
    </w:p>
    <w:p>
      <w:pPr>
        <w:pStyle w:val="Heading3"/>
      </w:pPr>
      <w:bookmarkStart w:id="97" w:name="synoptic-sampling-1"/>
      <w:r>
        <w:t xml:space="preserve">Synoptic Sampling</w:t>
      </w:r>
      <w:bookmarkEnd w:id="97"/>
    </w:p>
    <w:p>
      <w:pPr>
        <w:pStyle w:val="FirstParagraph"/>
      </w:pPr>
      <w:r>
        <w:t xml:space="preserve">Over the sixteen month study period, 227 samples were collected at thirteen river sites across the Leech and Sooke water supply areas. Figure</w:t>
      </w:r>
      <w:r>
        <w:t xml:space="preserve"> </w:t>
      </w:r>
      <w:r>
        <w:t xml:space="preserve">28</w:t>
      </w:r>
      <w:r>
        <w:t xml:space="preserve"> </w:t>
      </w:r>
      <w:r>
        <w:t xml:space="preserve">shows DOC concentrations across each synoptically samples site, and Table</w:t>
      </w:r>
      <w:r>
        <w:t xml:space="preserve"> </w:t>
      </w:r>
      <w:r>
        <w:t xml:space="preserve">??</w:t>
      </w:r>
      <w:r>
        <w:t xml:space="preserve"> </w:t>
      </w:r>
      <w:r>
        <w:t xml:space="preserve">summarized the range of DOC concentrations.</w:t>
      </w:r>
    </w:p>
    <w:p>
      <w:pPr>
        <w:pStyle w:val="BodyText"/>
      </w:pPr>
      <w:r>
        <w:t xml:space="preserve"> </w:t>
      </w:r>
    </w:p>
    <w:p>
      <w:pPr>
        <w:pStyle w:val="CaptionedFigure"/>
      </w:pPr>
      <w:r>
        <w:drawing>
          <wp:inline>
            <wp:extent cx="5943600" cy="3668888"/>
            <wp:effectExtent b="0" l="0" r="0" t="0"/>
            <wp:docPr descr="Figure 28:  Synoptic sampling results of dissolved organic carbon concentrations from 13 sites over 16 months (227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9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Synoptic sampling results of dissolved organic carbon concentrations from 13 sites over 16 months (227 grab samples).</w:t>
      </w:r>
    </w:p>
    <w:p>
      <w:pPr>
        <w:pStyle w:val="BodyText"/>
      </w:pPr>
      <w:r>
        <w:t xml:space="preserve"> </w:t>
      </w:r>
    </w:p>
    <w:p>
      <w:pPr>
        <w:pStyle w:val="SourceCode"/>
      </w:pPr>
      <w:r>
        <w:rPr>
          <w:rStyle w:val="VerbatimChar"/>
        </w:rPr>
        <w:t xml:space="preserve">#{r synopticDOCdata}</w:t>
      </w:r>
      <w:r>
        <w:br/>
      </w:r>
      <w:r>
        <w:rPr>
          <w:rStyle w:val="VerbatimChar"/>
        </w:rPr>
        <w:t xml:space="preserve">read_csv("R-outputs_UBC-forWater-MSc_HMc/tables/DOC-Synoptic_grab-summary.csv", col_names = TRUE) %&gt;% </w:t>
      </w:r>
      <w:r>
        <w:br/>
      </w:r>
      <w:r>
        <w:rPr>
          <w:rStyle w:val="VerbatimChar"/>
        </w:rPr>
        <w:t xml:space="preserve">  knitr::kable(digits = c(1, 0, 1, 1, 2, 2, 2), </w:t>
      </w:r>
      <w:r>
        <w:br/>
      </w:r>
      <w:r>
        <w:rPr>
          <w:rStyle w:val="VerbatimChar"/>
        </w:rPr>
        <w:t xml:space="preserve">               caption = "*Summary of dissolved organic carbon across thirteen synoptically sampled river sites*")</w:t>
      </w:r>
    </w:p>
    <w:p>
      <w:pPr>
        <w:pStyle w:val="FirstParagraph"/>
      </w:pPr>
      <w:r>
        <w:t xml:space="preserve"> </w:t>
      </w:r>
    </w:p>
    <w:p>
      <w:pPr>
        <w:pStyle w:val="BodyText"/>
      </w:pPr>
      <w:r>
        <w:t xml:space="preserve">Figure (</w:t>
      </w:r>
      <w:r>
        <w:t xml:space="preserve">29</w:t>
      </w:r>
      <w:r>
        <w:t xml:space="preserve">) shows the density distribution of DOC concentrations at each of the synoptically sampled sites. DOC concentrations were typically higher in headwater streams, particularly those associated with wetlands.</w:t>
      </w:r>
    </w:p>
    <w:p>
      <w:pPr>
        <w:pStyle w:val="BodyText"/>
      </w:pPr>
      <w:r>
        <w:t xml:space="preserve"> </w:t>
      </w:r>
    </w:p>
    <w:p>
      <w:pPr>
        <w:pStyle w:val="CaptionedFigure"/>
      </w:pPr>
      <w:r>
        <w:drawing>
          <wp:inline>
            <wp:extent cx="5943600" cy="3668888"/>
            <wp:effectExtent b="0" l="0" r="0" t="0"/>
            <wp:docPr descr="Figure 29:  Density distribution of dissolved organic carbon concentrations resulting from synoptic sampling at 13 sites over 16 months (227 grab samples)." title="" id="1" name="Picture"/>
            <a:graphic>
              <a:graphicData uri="http://schemas.openxmlformats.org/drawingml/2006/picture">
                <pic:pic>
                  <pic:nvPicPr>
                    <pic:cNvPr descr="R-outputs_UBC-forWater-MSc_HMc/figures/DOC_syn_13sites_ridgeplots.png" id="0" name="Picture"/>
                    <pic:cNvPicPr>
                      <a:picLocks noChangeArrowheads="1" noChangeAspect="1"/>
                    </pic:cNvPicPr>
                  </pic:nvPicPr>
                  <pic:blipFill>
                    <a:blip r:embed="rId9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Density distribution of dissolved organic carbon concentrations resulting from synoptic sampling at 13 sites over 16 months (227 grab samples).</w:t>
      </w:r>
    </w:p>
    <w:p>
      <w:pPr>
        <w:pStyle w:val="BodyText"/>
      </w:pPr>
      <w:r>
        <w:t xml:space="preserve"> </w:t>
      </w:r>
    </w:p>
    <w:p>
      <w:pPr>
        <w:pStyle w:val="Heading4"/>
      </w:pPr>
      <w:bookmarkStart w:id="100" w:name="X8a0529aaecb3335c81e1d77aadea32ee416aa9e"/>
      <w:r>
        <w:t xml:space="preserve">Seasonal patterns: UV-absorption as indicator of molecular character</w:t>
      </w:r>
      <w:bookmarkEnd w:id="100"/>
    </w:p>
    <w:p>
      <w:pPr>
        <w:pStyle w:val="FirstParagraph"/>
      </w:pPr>
      <w:r>
        <w:t xml:space="preserve">With samples collected over sixteen months, a seasonal assessment of source water character was possible. NOM molecules with greater aromaticity will absorb more UV energy at wavelength 254-nm than non-aromatic molecules; therefore, spectroscopic methods of estimating DOM are proxy measures of sample aromaticity (e.g., humic substances). Figure</w:t>
      </w:r>
      <w:r>
        <w:t xml:space="preserve"> </w:t>
      </w:r>
      <w:r>
        <w:t xml:space="preserve">30</w:t>
      </w:r>
      <w:r>
        <w:t xml:space="preserve"> </w:t>
      </w:r>
      <w:r>
        <w:t xml:space="preserve">shows DOC concentrations plotted against DOC estimates based on UV-Vis absorbance. The seasonal separation of wet an dry season samples suggests that river water during the wet-season (fall and winter) has more aromatic character than during the dry-season (summer).</w:t>
      </w:r>
    </w:p>
    <w:p>
      <w:pPr>
        <w:pStyle w:val="BodyText"/>
      </w:pPr>
      <w:r>
        <w:rPr>
          <w:i/>
          <w:b/>
        </w:rPr>
        <w:t xml:space="preserve">Quality control note</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 DOUBLE CHECK THAT NUMBER (FROM METHODS)</w:t>
      </w:r>
    </w:p>
    <w:p>
      <w:pPr>
        <w:pStyle w:val="BodyText"/>
      </w:pPr>
      <w:r>
        <w:t xml:space="preserve"> </w:t>
      </w:r>
    </w:p>
    <w:p>
      <w:pPr>
        <w:pStyle w:val="CaptionedFigure"/>
      </w:pPr>
      <w:r>
        <w:drawing>
          <wp:inline>
            <wp:extent cx="5943600" cy="5943600"/>
            <wp:effectExtent b="0" l="0" r="0" t="0"/>
            <wp:docPr descr="Figure 30:  Dissolved organic carbon measured directly (as NPOC) plotted against concentrations estimated via UV-Vis spectroscopy, with a dashed lined indicating best fit (1:1). The 282 samples are grouped by season (n{wet} = 237, n{first-flush} = 18,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10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Dissolved organic carbon measured directly (as NPOC) plotted against concentrations estimated via UV-Vis spectroscopy, with a dashed lined indicating best fit (1:1). The 282 samples are grouped by season (n{wet} = 237, n{first-flush} = 18, n{dry} = 27).</w:t>
      </w:r>
    </w:p>
    <w:p>
      <w:pPr>
        <w:pStyle w:val="BodyText"/>
      </w:pPr>
      <w:r>
        <w:t xml:space="preserve"> </w:t>
      </w:r>
    </w:p>
    <w:p>
      <w:pPr>
        <w:pStyle w:val="BodyText"/>
      </w:pPr>
      <w:r>
        <w:t xml:space="preserve">Figure</w:t>
      </w:r>
      <w:r>
        <w:t xml:space="preserve"> </w:t>
      </w:r>
      <w:r>
        <w:t xml:space="preserve">30</w:t>
      </w:r>
      <w:r>
        <w:t xml:space="preserve"> </w:t>
      </w:r>
      <w:r>
        <w:t xml:space="preserve">showed that characteristics of wet-season samples caused positive bias in absorbance-based DOC estimates, while dry-season samples showed negative bias in DOC estimated by UV-Vis absorption.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SUVA</w:t>
      </w:r>
      <w:r>
        <w:rPr>
          <w:vertAlign w:val="subscript"/>
        </w:rPr>
        <w:t xml:space="preserve">254</w:t>
      </w:r>
      <w:r>
        <w:t xml:space="preserve"> </w:t>
      </w:r>
      <w:r>
        <w:t xml:space="preserve">is a widely adopted indicator of a sample’s aromaticity. Specific UV absorbance at 254-nm (SUVA</w:t>
      </w:r>
      <w:r>
        <w:rPr>
          <w:vertAlign w:val="subscript"/>
        </w:rPr>
        <w:t xml:space="preserve">254</w:t>
      </w:r>
      <w:r>
        <w:t xml:space="preserve">) is calculated by dividing a sample’s absorbance at 254-nm by its DOC concentration; a greater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31</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5943600" cy="3668888"/>
            <wp:effectExtent b="0" l="0" r="0" t="0"/>
            <wp:docPr descr="Figure 31: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10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Heading2"/>
      </w:pPr>
      <w:bookmarkStart w:id="103" w:name="random-forests"/>
      <w:r>
        <w:t xml:space="preserve">Random Forests</w:t>
      </w:r>
      <w:bookmarkEnd w:id="103"/>
    </w:p>
    <w:p>
      <w:pPr>
        <w:pStyle w:val="Compact"/>
        <w:numPr>
          <w:numId w:val="1006"/>
          <w:ilvl w:val="0"/>
        </w:numPr>
      </w:pPr>
      <w:r>
        <w:t xml:space="preserve">in progress</w:t>
      </w:r>
    </w:p>
    <w:p>
      <w:pPr>
        <w:pStyle w:val="Heading1"/>
      </w:pPr>
      <w:bookmarkStart w:id="104" w:name="discussion"/>
      <w:r>
        <w:t xml:space="preserve">Discussion</w:t>
      </w:r>
      <w:bookmarkEnd w:id="104"/>
    </w:p>
    <w:p>
      <w:pPr>
        <w:pStyle w:val="FirstParagraph"/>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pStyle w:val="Heading1"/>
      </w:pPr>
      <w:bookmarkStart w:id="105" w:name="conclusions"/>
      <w:r>
        <w:t xml:space="preserve">Conclusions</w:t>
      </w:r>
      <w:bookmarkEnd w:id="105"/>
    </w:p>
    <w:p>
      <w:pPr>
        <w:pStyle w:val="Heading1"/>
      </w:pPr>
      <w:bookmarkStart w:id="106" w:name="references"/>
      <w:r>
        <w:t xml:space="preserve">References</w:t>
      </w:r>
      <w:bookmarkEnd w:id="106"/>
    </w:p>
    <w:bookmarkStart w:id="186" w:name="refs"/>
    <w:bookmarkStart w:id="10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07">
        <w:r>
          <w:rPr>
            <w:rStyle w:val="Hyperlink"/>
          </w:rPr>
          <w:t xml:space="preserve">https://doi.org/10.1111/ele.12897</w:t>
        </w:r>
      </w:hyperlink>
      <w:r>
        <w:t xml:space="preserve">.</w:t>
      </w:r>
    </w:p>
    <w:bookmarkEnd w:id="108"/>
    <w:bookmarkStart w:id="110"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09">
        <w:r>
          <w:rPr>
            <w:rStyle w:val="Hyperlink"/>
          </w:rPr>
          <w:t xml:space="preserve">https://doi.org/10.1021/es103992s</w:t>
        </w:r>
      </w:hyperlink>
      <w:r>
        <w:t xml:space="preserve">.</w:t>
      </w:r>
    </w:p>
    <w:bookmarkEnd w:id="110"/>
    <w:bookmarkStart w:id="112"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11">
        <w:r>
          <w:rPr>
            <w:rStyle w:val="Hyperlink"/>
          </w:rPr>
          <w:t xml:space="preserve">https://doi.org/10.1016/j.jhydrol.2014.05.060</w:t>
        </w:r>
      </w:hyperlink>
      <w:r>
        <w:t xml:space="preserve">.</w:t>
      </w:r>
    </w:p>
    <w:bookmarkEnd w:id="112"/>
    <w:bookmarkStart w:id="114" w:name="ref-BC2019"/>
    <w:p>
      <w:pPr>
        <w:pStyle w:val="Bibliography"/>
      </w:pPr>
      <w:r>
        <w:t xml:space="preserve">British Columbia Ministry of Environment. 2017. “Source Drinking Water Quality Guidelines: Guideline Summary.” Victoria, B.C.: Prov. B.C.</w:t>
      </w:r>
      <w:r>
        <w:t xml:space="preserve"> </w:t>
      </w:r>
      <w:hyperlink r:id="rId113">
        <w:r>
          <w:rPr>
            <w:rStyle w:val="Hyperlink"/>
          </w:rPr>
          <w:t xml:space="preserve">https://www2.gov.bc.ca/gov/content/governments/organizational-structure/ministries-organizations/ministries/environment-climate-change</w:t>
        </w:r>
      </w:hyperlink>
      <w:r>
        <w:t xml:space="preserve">.</w:t>
      </w:r>
    </w:p>
    <w:bookmarkEnd w:id="114"/>
    <w:bookmarkStart w:id="115" w:name="ref-CCME2004"/>
    <w:p>
      <w:pPr>
        <w:pStyle w:val="Bibliography"/>
      </w:pPr>
      <w:r>
        <w:t xml:space="preserve">Canadian Council of Ministers of the Environment. 2004. “From source to tap : guidance on the multi-barrier approach to safe drinking water.”</w:t>
      </w:r>
    </w:p>
    <w:bookmarkEnd w:id="115"/>
    <w:bookmarkStart w:id="11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16">
        <w:r>
          <w:rPr>
            <w:rStyle w:val="Hyperlink"/>
          </w:rPr>
          <w:t xml:space="preserve">https://doi.org/10.2166/aqua.2008.064</w:t>
        </w:r>
      </w:hyperlink>
      <w:r>
        <w:t xml:space="preserve">.</w:t>
      </w:r>
    </w:p>
    <w:bookmarkEnd w:id="117"/>
    <w:bookmarkStart w:id="119"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18">
        <w:r>
          <w:rPr>
            <w:rStyle w:val="Hyperlink"/>
          </w:rPr>
          <w:t xml:space="preserve">https://doi.org/10.1139/cjfas-2014-0400</w:t>
        </w:r>
      </w:hyperlink>
      <w:r>
        <w:t xml:space="preserve">.</w:t>
      </w:r>
    </w:p>
    <w:bookmarkEnd w:id="119"/>
    <w:bookmarkStart w:id="121"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20">
        <w:r>
          <w:rPr>
            <w:rStyle w:val="Hyperlink"/>
          </w:rPr>
          <w:t xml:space="preserve">https://doi.org/10.1016/B978-0-12-382092-1.00019-1</w:t>
        </w:r>
      </w:hyperlink>
      <w:r>
        <w:t xml:space="preserve">.</w:t>
      </w:r>
    </w:p>
    <w:bookmarkEnd w:id="121"/>
    <w:bookmarkStart w:id="123"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22">
        <w:r>
          <w:rPr>
            <w:rStyle w:val="Hyperlink"/>
          </w:rPr>
          <w:t xml:space="preserve">https://doi.org/10.1016/j.watres.2016.08.031</w:t>
        </w:r>
      </w:hyperlink>
      <w:r>
        <w:t xml:space="preserve">.</w:t>
      </w:r>
    </w:p>
    <w:bookmarkEnd w:id="123"/>
    <w:bookmarkStart w:id="12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24">
        <w:r>
          <w:rPr>
            <w:rStyle w:val="Hyperlink"/>
          </w:rPr>
          <w:t xml:space="preserve">http://scholar.google.com/scholar?hl=en{\&amp;}btnG=Search{\&amp;}q=intitle:Running+Pure{\#}1</w:t>
        </w:r>
      </w:hyperlink>
      <w:r>
        <w:t xml:space="preserve">.</w:t>
      </w:r>
    </w:p>
    <w:bookmarkEnd w:id="125"/>
    <w:bookmarkStart w:id="127"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26">
        <w:r>
          <w:rPr>
            <w:rStyle w:val="Hyperlink"/>
          </w:rPr>
          <w:t xml:space="preserve">http://www.standardmethods.org/</w:t>
        </w:r>
      </w:hyperlink>
      <w:r>
        <w:t xml:space="preserve">.</w:t>
      </w:r>
    </w:p>
    <w:bookmarkEnd w:id="127"/>
    <w:bookmarkStart w:id="129"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28">
        <w:r>
          <w:rPr>
            <w:rStyle w:val="Hyperlink"/>
          </w:rPr>
          <w:t xml:space="preserve">https://doi.org/10.1016/j.watres.2010.08.051</w:t>
        </w:r>
      </w:hyperlink>
      <w:r>
        <w:t xml:space="preserve">.</w:t>
      </w:r>
    </w:p>
    <w:bookmarkEnd w:id="129"/>
    <w:bookmarkStart w:id="131"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30">
        <w:r>
          <w:rPr>
            <w:rStyle w:val="Hyperlink"/>
          </w:rPr>
          <w:t xml:space="preserve">https://doi.org/10.3133/fs06700</w:t>
        </w:r>
      </w:hyperlink>
      <w:r>
        <w:t xml:space="preserve">.</w:t>
      </w:r>
    </w:p>
    <w:bookmarkEnd w:id="131"/>
    <w:bookmarkStart w:id="133" w:name="ref-HealthCanada2019"/>
    <w:p>
      <w:pPr>
        <w:pStyle w:val="Bibliography"/>
      </w:pPr>
      <w:r>
        <w:t xml:space="preserve">Health Canada. 2019. “Guidance on Natural Organic Matter in Drinking Water.”</w:t>
      </w:r>
      <w:r>
        <w:t xml:space="preserve"> </w:t>
      </w:r>
      <w:hyperlink r:id="rId132">
        <w:r>
          <w:rPr>
            <w:rStyle w:val="Hyperlink"/>
          </w:rPr>
          <w:t xml:space="preserve">https://www.canada.ca/content/dam/hc-sc/documents/programs/consultation-organic-matter-drinking-water/NOM20190129-eng.pdf</w:t>
        </w:r>
      </w:hyperlink>
      <w:r>
        <w:t xml:space="preserve">.</w:t>
      </w:r>
    </w:p>
    <w:bookmarkEnd w:id="133"/>
    <w:bookmarkStart w:id="135" w:name="ref-HealthCanada2006"/>
    <w:p>
      <w:pPr>
        <w:pStyle w:val="Bibliography"/>
      </w:pPr>
      <w:r>
        <w:t xml:space="preserve">HealthCanada. 2006. “Drinking Water Chlorination.”</w:t>
      </w:r>
      <w:r>
        <w:t xml:space="preserve"> </w:t>
      </w:r>
      <w:hyperlink r:id="rId134">
        <w:r>
          <w:rPr>
            <w:rStyle w:val="Hyperlink"/>
          </w:rPr>
          <w:t xml:space="preserve">https://www.canada.ca/en/health-canada/services/healthy-living/your-health/environment/drinking-water-chlorination.html</w:t>
        </w:r>
      </w:hyperlink>
      <w:r>
        <w:t xml:space="preserve">.</w:t>
      </w:r>
    </w:p>
    <w:bookmarkEnd w:id="135"/>
    <w:bookmarkStart w:id="137" w:name="ref-HealthLinkBC2018"/>
    <w:p>
      <w:pPr>
        <w:pStyle w:val="Bibliography"/>
      </w:pPr>
      <w:r>
        <w:t xml:space="preserve">HealthLinkBC. 2018. “Drinking Water Chlorination Facts.”</w:t>
      </w:r>
      <w:r>
        <w:t xml:space="preserve"> </w:t>
      </w:r>
      <w:hyperlink r:id="rId136">
        <w:r>
          <w:rPr>
            <w:rStyle w:val="Hyperlink"/>
          </w:rPr>
          <w:t xml:space="preserve">https://www.healthlinkbc.ca/healthlinkbc-files/drinking-water-chlorination</w:t>
        </w:r>
      </w:hyperlink>
      <w:r>
        <w:t xml:space="preserve">.</w:t>
      </w:r>
    </w:p>
    <w:bookmarkEnd w:id="137"/>
    <w:bookmarkStart w:id="139"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38">
        <w:r>
          <w:rPr>
            <w:rStyle w:val="Hyperlink"/>
          </w:rPr>
          <w:t xml:space="preserve">https://www.jstor.org/stable/40058211</w:t>
        </w:r>
      </w:hyperlink>
      <w:r>
        <w:t xml:space="preserve">.</w:t>
      </w:r>
    </w:p>
    <w:bookmarkEnd w:id="139"/>
    <w:bookmarkStart w:id="141"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40">
        <w:r>
          <w:rPr>
            <w:rStyle w:val="Hyperlink"/>
          </w:rPr>
          <w:t xml:space="preserve">https://doi.org/10.1016/j.chemosphere.2015.03.039</w:t>
        </w:r>
      </w:hyperlink>
      <w:r>
        <w:t xml:space="preserve">.</w:t>
      </w:r>
    </w:p>
    <w:bookmarkEnd w:id="141"/>
    <w:bookmarkStart w:id="14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42">
        <w:r>
          <w:rPr>
            <w:rStyle w:val="Hyperlink"/>
          </w:rPr>
          <w:t xml:space="preserve">https://doi.org/10.1002/j.1551-8833.1995.tb06302.x</w:t>
        </w:r>
      </w:hyperlink>
      <w:r>
        <w:t xml:space="preserve">.</w:t>
      </w:r>
    </w:p>
    <w:bookmarkEnd w:id="143"/>
    <w:bookmarkStart w:id="145"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44">
        <w:r>
          <w:rPr>
            <w:rStyle w:val="Hyperlink"/>
          </w:rPr>
          <w:t xml:space="preserve">https://doi.org/doi:10.1046/j.1365-2427.1997.d01-539.x</w:t>
        </w:r>
      </w:hyperlink>
      <w:r>
        <w:t xml:space="preserve">.</w:t>
      </w:r>
    </w:p>
    <w:bookmarkEnd w:id="145"/>
    <w:bookmarkStart w:id="147"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46">
        <w:r>
          <w:rPr>
            <w:rStyle w:val="Hyperlink"/>
          </w:rPr>
          <w:t xml:space="preserve">https://archive.org/details/metaltransportre00lazeuoft/mode/2up</w:t>
        </w:r>
      </w:hyperlink>
      <w:r>
        <w:t xml:space="preserve">.</w:t>
      </w:r>
    </w:p>
    <w:bookmarkEnd w:id="147"/>
    <w:bookmarkStart w:id="149"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48">
        <w:r>
          <w:rPr>
            <w:rStyle w:val="Hyperlink"/>
          </w:rPr>
          <w:t xml:space="preserve">https://doi.org/10.1016/j.jhazmat.2014.02.009</w:t>
        </w:r>
      </w:hyperlink>
      <w:r>
        <w:t xml:space="preserve">.</w:t>
      </w:r>
    </w:p>
    <w:bookmarkEnd w:id="149"/>
    <w:bookmarkStart w:id="151"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50">
        <w:r>
          <w:rPr>
            <w:rStyle w:val="Hyperlink"/>
          </w:rPr>
          <w:t xml:space="preserve">https://doi.org/10.1016/j.chemosphere.2011.01.018</w:t>
        </w:r>
      </w:hyperlink>
      <w:r>
        <w:t xml:space="preserve">.</w:t>
      </w:r>
    </w:p>
    <w:bookmarkEnd w:id="151"/>
    <w:bookmarkStart w:id="153"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52">
        <w:r>
          <w:rPr>
            <w:rStyle w:val="Hyperlink"/>
          </w:rPr>
          <w:t xml:space="preserve">https://doi.org/10.1016/j.cis.2010.06.007</w:t>
        </w:r>
      </w:hyperlink>
      <w:r>
        <w:t xml:space="preserve">.</w:t>
      </w:r>
    </w:p>
    <w:bookmarkEnd w:id="153"/>
    <w:bookmarkStart w:id="15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54">
        <w:r>
          <w:rPr>
            <w:rStyle w:val="Hyperlink"/>
          </w:rPr>
          <w:t xml:space="preserve">https://www.jstor.org/stable/1937326</w:t>
        </w:r>
      </w:hyperlink>
      <w:r>
        <w:t xml:space="preserve">.</w:t>
      </w:r>
    </w:p>
    <w:bookmarkEnd w:id="155"/>
    <w:bookmarkStart w:id="156"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56"/>
    <w:bookmarkStart w:id="158"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57">
        <w:r>
          <w:rPr>
            <w:rStyle w:val="Hyperlink"/>
          </w:rPr>
          <w:t xml:space="preserve">https://doi.org/10.1007/s10533-015-0103-6</w:t>
        </w:r>
      </w:hyperlink>
      <w:r>
        <w:t xml:space="preserve">.</w:t>
      </w:r>
    </w:p>
    <w:bookmarkEnd w:id="158"/>
    <w:bookmarkStart w:id="160"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59">
        <w:r>
          <w:rPr>
            <w:rStyle w:val="Hyperlink"/>
          </w:rPr>
          <w:t xml:space="preserve">https://doi.org/10.5194/bg-10-2315-2013</w:t>
        </w:r>
      </w:hyperlink>
      <w:r>
        <w:t xml:space="preserve">.</w:t>
      </w:r>
    </w:p>
    <w:bookmarkEnd w:id="160"/>
    <w:bookmarkStart w:id="162"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61">
        <w:r>
          <w:rPr>
            <w:rStyle w:val="Hyperlink"/>
          </w:rPr>
          <w:t xml:space="preserve">https://doi.org/10.1007/s11270-013-1651-9</w:t>
        </w:r>
      </w:hyperlink>
      <w:r>
        <w:t xml:space="preserve">.</w:t>
      </w:r>
    </w:p>
    <w:bookmarkEnd w:id="162"/>
    <w:bookmarkStart w:id="164"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63">
        <w:r>
          <w:rPr>
            <w:rStyle w:val="Hyperlink"/>
          </w:rPr>
          <w:t xml:space="preserve">https://doi.org/10.1016/S0003-2670(96)00412-6</w:t>
        </w:r>
      </w:hyperlink>
      <w:r>
        <w:t xml:space="preserve">.</w:t>
      </w:r>
    </w:p>
    <w:bookmarkEnd w:id="164"/>
    <w:bookmarkStart w:id="166"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65">
        <w:r>
          <w:rPr>
            <w:rStyle w:val="Hyperlink"/>
          </w:rPr>
          <w:t xml:space="preserve">https://www.for.gov.bc.ca/hfd/pubs/docs/lmh/Lmh66/LMH66{\_}volume2of2.pdf</w:t>
        </w:r>
      </w:hyperlink>
      <w:r>
        <w:t xml:space="preserve">.</w:t>
      </w:r>
    </w:p>
    <w:bookmarkEnd w:id="166"/>
    <w:bookmarkStart w:id="167"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67"/>
    <w:bookmarkStart w:id="169"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68">
        <w:r>
          <w:rPr>
            <w:rStyle w:val="Hyperlink"/>
          </w:rPr>
          <w:t xml:space="preserve">https://doi.org/10.1007/sl0533-010-9416-7</w:t>
        </w:r>
      </w:hyperlink>
      <w:r>
        <w:t xml:space="preserve">.</w:t>
      </w:r>
    </w:p>
    <w:bookmarkEnd w:id="169"/>
    <w:bookmarkStart w:id="171"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70">
        <w:r>
          <w:rPr>
            <w:rStyle w:val="Hyperlink"/>
          </w:rPr>
          <w:t xml:space="preserve">https://www.jstor.org/stable/24702986</w:t>
        </w:r>
      </w:hyperlink>
      <w:r>
        <w:t xml:space="preserve">.</w:t>
      </w:r>
    </w:p>
    <w:bookmarkEnd w:id="171"/>
    <w:bookmarkStart w:id="173"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72">
        <w:r>
          <w:rPr>
            <w:rStyle w:val="Hyperlink"/>
          </w:rPr>
          <w:t xml:space="preserve">https://doi.org/10.1016/j.mrrev.2007.09.001</w:t>
        </w:r>
      </w:hyperlink>
      <w:r>
        <w:t xml:space="preserve">.</w:t>
      </w:r>
    </w:p>
    <w:bookmarkEnd w:id="173"/>
    <w:bookmarkStart w:id="175"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74">
        <w:r>
          <w:rPr>
            <w:rStyle w:val="Hyperlink"/>
          </w:rPr>
          <w:t xml:space="preserve">https://doi.org/10.1111/j.1365-2427.2011.02613.x</w:t>
        </w:r>
      </w:hyperlink>
      <w:r>
        <w:t xml:space="preserve">.</w:t>
      </w:r>
    </w:p>
    <w:bookmarkEnd w:id="175"/>
    <w:bookmarkStart w:id="176"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76"/>
    <w:bookmarkStart w:id="177"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77"/>
    <w:bookmarkStart w:id="179"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78">
        <w:r>
          <w:rPr>
            <w:rStyle w:val="Hyperlink"/>
          </w:rPr>
          <w:t xml:space="preserve">https://doi.org/10.1007/s10533-008-9207-6</w:t>
        </w:r>
      </w:hyperlink>
      <w:r>
        <w:t xml:space="preserve">.</w:t>
      </w:r>
    </w:p>
    <w:bookmarkEnd w:id="179"/>
    <w:bookmarkStart w:id="181"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80">
        <w:r>
          <w:rPr>
            <w:rStyle w:val="Hyperlink"/>
          </w:rPr>
          <w:t xml:space="preserve">https://doi.org/10.1021/es030360x</w:t>
        </w:r>
      </w:hyperlink>
      <w:r>
        <w:t xml:space="preserve">.</w:t>
      </w:r>
    </w:p>
    <w:bookmarkEnd w:id="181"/>
    <w:bookmarkStart w:id="183"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82">
        <w:r>
          <w:rPr>
            <w:rStyle w:val="Hyperlink"/>
          </w:rPr>
          <w:t xml:space="preserve">https://doi.org/10.1007/s11356-015-4078-6</w:t>
        </w:r>
      </w:hyperlink>
      <w:r>
        <w:t xml:space="preserve">.</w:t>
      </w:r>
    </w:p>
    <w:bookmarkEnd w:id="183"/>
    <w:bookmarkStart w:id="185"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84">
        <w:r>
          <w:rPr>
            <w:rStyle w:val="Hyperlink"/>
          </w:rPr>
          <w:t xml:space="preserve">https://doi.org/10.1029/2018GL080005</w:t>
        </w:r>
      </w:hyperlink>
      <w:r>
        <w:t xml:space="preserve">.</w:t>
      </w:r>
    </w:p>
    <w:bookmarkEnd w:id="185"/>
    <w:bookmarkEnd w:id="186"/>
    <w:sectPr w:rsidR="00473DED" w:rsidSect="00E24359">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359" w:rsidRDefault="00E24359">
    <w:pPr>
      <w:pStyle w:val="Footer"/>
      <w:jc w:val="right"/>
    </w:pPr>
    <w:r>
      <w:fldChar w:fldCharType="begin"/>
    </w:r>
    <w:r>
      <w:instrText xml:space="preserve"> PAGE   \* MERGEFORMAT </w:instrText>
    </w:r>
    <w:r>
      <w:fldChar w:fldCharType="separate"/>
    </w:r>
    <w:r>
      <w:rPr>
        <w:noProof/>
      </w:rPr>
      <w:t>ii</w:t>
    </w:r>
    <w:r>
      <w:rPr>
        <w:noProof/>
      </w:rPr>
      <w:fldChar w:fldCharType="end"/>
    </w:r>
  </w:p>
  <w:p w:rsidR="00E24359" w:rsidRDefault="00E24359" w:rsidP="00E243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E24359" w:rsidRDefault="00E243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4359" w:rsidRDefault="00E243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125289"/>
      <w:docPartObj>
        <w:docPartGallery w:val="Page Numbers (Bottom of Page)"/>
        <w:docPartUnique/>
      </w:docPartObj>
    </w:sdtPr>
    <w:sdtEndPr>
      <w:rPr>
        <w:noProof/>
      </w:rPr>
    </w:sdtEndPr>
    <w:sdtContent>
      <w:p w:rsidR="00E24359" w:rsidRDefault="00E243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4359" w:rsidRDefault="00E2435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51">
    <w:p>
      <w:pPr>
        <w:pStyle w:val="FootnoteText"/>
      </w:pPr>
      <w:r>
        <w:rPr>
          <w:rStyle w:val="FootnoteReference"/>
        </w:rPr>
        <w:footnoteRef/>
      </w:r>
      <w:r>
        <w:t xml:space="preserve"> </w:t>
      </w:r>
      <w:r>
        <w:t xml:space="preserve">UBC-based laboratory analysis of river samples for DOC concentrations resulted in an overall accuracy of 3.7% assessed by analysis of 20 calibration verification standards.</w:t>
      </w:r>
    </w:p>
  </w:footnote>
  <w:footnote w:id="58">
    <w:p>
      <w:pPr>
        <w:pStyle w:val="FootnoteText"/>
      </w:pPr>
      <w:r>
        <w:rPr>
          <w:rStyle w:val="FootnoteReference"/>
        </w:rPr>
        <w:footnoteRef/>
      </w:r>
      <w:r>
        <w:t xml:space="preserve"> </w:t>
      </w:r>
      <w:r>
        <w:t xml:space="preserve">Following this major event, changes to the stream-bed morphology were evident at Leech-head (site-3) in the form of gravel and cobble deposition, and there was evidence of substantial coarse woody debris transport at Chris crk (site-2).</w:t>
      </w:r>
    </w:p>
  </w:footnote>
  <w:footnote w:id="69">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76">
    <w:p>
      <w:pPr>
        <w:pStyle w:val="FootnoteText"/>
      </w:pPr>
      <w:r>
        <w:rPr>
          <w:rStyle w:val="FootnoteReference"/>
        </w:rPr>
        <w:footnoteRef/>
      </w:r>
      <w:r>
        <w:t xml:space="preserve"> </w:t>
      </w:r>
      <w:r>
        <w:t xml:space="preserve">Levene’s test is used to check for homogeneity of variance (homoscedasticity).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315AD57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CBC047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B52114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4288F2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FE6AF2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2CACEA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6A4942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26A576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6683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8E2450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Id="rId11" Type="http://schemas.openxmlformats.org/officeDocument/2006/relationships/footer" Target="footer3.xml"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87" Target="media/rId8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75" Target="media/rId75.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78" Target="media/rId78.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65" Target="media/rId65.png" /><Relationship Type="http://schemas.openxmlformats.org/officeDocument/2006/relationships/image" Id="rId96" Target="media/rId96.png" /><Relationship Type="http://schemas.openxmlformats.org/officeDocument/2006/relationships/hyperlink" Id="rId124"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6" Target="http://www.standardmethods.org/" TargetMode="External" /><Relationship Type="http://schemas.openxmlformats.org/officeDocument/2006/relationships/hyperlink" Id="rId146" Target="https://archive.org/details/metaltransportre00lazeuoft/mode/2up" TargetMode="External" /><Relationship Type="http://schemas.openxmlformats.org/officeDocument/2006/relationships/hyperlink" Id="rId142" Target="https://doi.org/10.1002/j.1551-8833.1995.tb06302.x" TargetMode="External" /><Relationship Type="http://schemas.openxmlformats.org/officeDocument/2006/relationships/hyperlink" Id="rId178" Target="https://doi.org/10.1007/s10533-008-9207-6" TargetMode="External" /><Relationship Type="http://schemas.openxmlformats.org/officeDocument/2006/relationships/hyperlink" Id="rId157" Target="https://doi.org/10.1007/s10533-015-0103-6" TargetMode="External" /><Relationship Type="http://schemas.openxmlformats.org/officeDocument/2006/relationships/hyperlink" Id="rId161" Target="https://doi.org/10.1007/s11270-013-1651-9" TargetMode="External" /><Relationship Type="http://schemas.openxmlformats.org/officeDocument/2006/relationships/hyperlink" Id="rId182" Target="https://doi.org/10.1007/s11356-015-4078-6" TargetMode="External" /><Relationship Type="http://schemas.openxmlformats.org/officeDocument/2006/relationships/hyperlink" Id="rId168" Target="https://doi.org/10.1007/sl0533-010-9416-7" TargetMode="External" /><Relationship Type="http://schemas.openxmlformats.org/officeDocument/2006/relationships/hyperlink" Id="rId120" Target="https://doi.org/10.1016/B978-0-12-382092-1.00019-1" TargetMode="External" /><Relationship Type="http://schemas.openxmlformats.org/officeDocument/2006/relationships/hyperlink" Id="rId163" Target="https://doi.org/10.1016/S0003-2670(96)00412-6" TargetMode="External" /><Relationship Type="http://schemas.openxmlformats.org/officeDocument/2006/relationships/hyperlink" Id="rId150" Target="https://doi.org/10.1016/j.chemosphere.2011.01.018" TargetMode="External" /><Relationship Type="http://schemas.openxmlformats.org/officeDocument/2006/relationships/hyperlink" Id="rId140" Target="https://doi.org/10.1016/j.chemosphere.2015.03.039" TargetMode="External" /><Relationship Type="http://schemas.openxmlformats.org/officeDocument/2006/relationships/hyperlink" Id="rId152" Target="https://doi.org/10.1016/j.cis.2010.06.007" TargetMode="External" /><Relationship Type="http://schemas.openxmlformats.org/officeDocument/2006/relationships/hyperlink" Id="rId148" Target="https://doi.org/10.1016/j.jhazmat.2014.02.009" TargetMode="External" /><Relationship Type="http://schemas.openxmlformats.org/officeDocument/2006/relationships/hyperlink" Id="rId111" Target="https://doi.org/10.1016/j.jhydrol.2014.05.060" TargetMode="External" /><Relationship Type="http://schemas.openxmlformats.org/officeDocument/2006/relationships/hyperlink" Id="rId172" Target="https://doi.org/10.1016/j.mrrev.2007.09.001" TargetMode="External" /><Relationship Type="http://schemas.openxmlformats.org/officeDocument/2006/relationships/hyperlink" Id="rId128" Target="https://doi.org/10.1016/j.watres.2010.08.051" TargetMode="External" /><Relationship Type="http://schemas.openxmlformats.org/officeDocument/2006/relationships/hyperlink" Id="rId122" Target="https://doi.org/10.1016/j.watres.2016.08.031" TargetMode="External" /><Relationship Type="http://schemas.openxmlformats.org/officeDocument/2006/relationships/hyperlink" Id="rId180" Target="https://doi.org/10.1021/es030360x" TargetMode="External" /><Relationship Type="http://schemas.openxmlformats.org/officeDocument/2006/relationships/hyperlink" Id="rId109" Target="https://doi.org/10.1021/es103992s" TargetMode="External" /><Relationship Type="http://schemas.openxmlformats.org/officeDocument/2006/relationships/hyperlink" Id="rId184" Target="https://doi.org/10.1029/2018GL080005" TargetMode="External" /><Relationship Type="http://schemas.openxmlformats.org/officeDocument/2006/relationships/hyperlink" Id="rId107" Target="https://doi.org/10.1111/ele.12897" TargetMode="External" /><Relationship Type="http://schemas.openxmlformats.org/officeDocument/2006/relationships/hyperlink" Id="rId174" Target="https://doi.org/10.1111/j.1365-2427.2011.02613.x" TargetMode="External" /><Relationship Type="http://schemas.openxmlformats.org/officeDocument/2006/relationships/hyperlink" Id="rId118" Target="https://doi.org/10.1139/cjfas-2014-0400" TargetMode="External" /><Relationship Type="http://schemas.openxmlformats.org/officeDocument/2006/relationships/hyperlink" Id="rId116" Target="https://doi.org/10.2166/aqua.2008.064" TargetMode="External" /><Relationship Type="http://schemas.openxmlformats.org/officeDocument/2006/relationships/hyperlink" Id="rId130" Target="https://doi.org/10.3133/fs06700" TargetMode="External" /><Relationship Type="http://schemas.openxmlformats.org/officeDocument/2006/relationships/hyperlink" Id="rId159" Target="https://doi.org/10.5194/bg-10-2315-2013" TargetMode="External" /><Relationship Type="http://schemas.openxmlformats.org/officeDocument/2006/relationships/hyperlink" Id="rId144" Target="https://doi.org/doi:10.1046/j.1365-2427.1997.d01-539.x" TargetMode="External" /><Relationship Type="http://schemas.openxmlformats.org/officeDocument/2006/relationships/hyperlink" Id="rId132" Target="https://www.canada.ca/content/dam/hc-sc/documents/programs/consultation-organic-matter-drinking-water/NOM20190129-eng.pdf" TargetMode="External" /><Relationship Type="http://schemas.openxmlformats.org/officeDocument/2006/relationships/hyperlink" Id="rId134" Target="https://www.canada.ca/en/health-canada/services/healthy-living/your-health/environment/drinking-water-chlorination.html" TargetMode="External" /><Relationship Type="http://schemas.openxmlformats.org/officeDocument/2006/relationships/hyperlink" Id="rId16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6" Target="https://www.healthlinkbc.ca/healthlinkbc-files/drinking-water-chlorination" TargetMode="External" /><Relationship Type="http://schemas.openxmlformats.org/officeDocument/2006/relationships/hyperlink" Id="rId154" Target="https://www.jstor.org/stable/1937326" TargetMode="External" /><Relationship Type="http://schemas.openxmlformats.org/officeDocument/2006/relationships/hyperlink" Id="rId170" Target="https://www.jstor.org/stable/24702986" TargetMode="External" /><Relationship Type="http://schemas.openxmlformats.org/officeDocument/2006/relationships/hyperlink" Id="rId138" Target="https://www.jstor.org/stable/40058211" TargetMode="External" /><Relationship Type="http://schemas.openxmlformats.org/officeDocument/2006/relationships/hyperlink" Id="rId113"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24"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6" Target="http://www.standardmethods.org/" TargetMode="External" /><Relationship Type="http://schemas.openxmlformats.org/officeDocument/2006/relationships/hyperlink" Id="rId146" Target="https://archive.org/details/metaltransportre00lazeuoft/mode/2up" TargetMode="External" /><Relationship Type="http://schemas.openxmlformats.org/officeDocument/2006/relationships/hyperlink" Id="rId142" Target="https://doi.org/10.1002/j.1551-8833.1995.tb06302.x" TargetMode="External" /><Relationship Type="http://schemas.openxmlformats.org/officeDocument/2006/relationships/hyperlink" Id="rId178" Target="https://doi.org/10.1007/s10533-008-9207-6" TargetMode="External" /><Relationship Type="http://schemas.openxmlformats.org/officeDocument/2006/relationships/hyperlink" Id="rId157" Target="https://doi.org/10.1007/s10533-015-0103-6" TargetMode="External" /><Relationship Type="http://schemas.openxmlformats.org/officeDocument/2006/relationships/hyperlink" Id="rId161" Target="https://doi.org/10.1007/s11270-013-1651-9" TargetMode="External" /><Relationship Type="http://schemas.openxmlformats.org/officeDocument/2006/relationships/hyperlink" Id="rId182" Target="https://doi.org/10.1007/s11356-015-4078-6" TargetMode="External" /><Relationship Type="http://schemas.openxmlformats.org/officeDocument/2006/relationships/hyperlink" Id="rId168" Target="https://doi.org/10.1007/sl0533-010-9416-7" TargetMode="External" /><Relationship Type="http://schemas.openxmlformats.org/officeDocument/2006/relationships/hyperlink" Id="rId120" Target="https://doi.org/10.1016/B978-0-12-382092-1.00019-1" TargetMode="External" /><Relationship Type="http://schemas.openxmlformats.org/officeDocument/2006/relationships/hyperlink" Id="rId163" Target="https://doi.org/10.1016/S0003-2670(96)00412-6" TargetMode="External" /><Relationship Type="http://schemas.openxmlformats.org/officeDocument/2006/relationships/hyperlink" Id="rId150" Target="https://doi.org/10.1016/j.chemosphere.2011.01.018" TargetMode="External" /><Relationship Type="http://schemas.openxmlformats.org/officeDocument/2006/relationships/hyperlink" Id="rId140" Target="https://doi.org/10.1016/j.chemosphere.2015.03.039" TargetMode="External" /><Relationship Type="http://schemas.openxmlformats.org/officeDocument/2006/relationships/hyperlink" Id="rId152" Target="https://doi.org/10.1016/j.cis.2010.06.007" TargetMode="External" /><Relationship Type="http://schemas.openxmlformats.org/officeDocument/2006/relationships/hyperlink" Id="rId148" Target="https://doi.org/10.1016/j.jhazmat.2014.02.009" TargetMode="External" /><Relationship Type="http://schemas.openxmlformats.org/officeDocument/2006/relationships/hyperlink" Id="rId111" Target="https://doi.org/10.1016/j.jhydrol.2014.05.060" TargetMode="External" /><Relationship Type="http://schemas.openxmlformats.org/officeDocument/2006/relationships/hyperlink" Id="rId172" Target="https://doi.org/10.1016/j.mrrev.2007.09.001" TargetMode="External" /><Relationship Type="http://schemas.openxmlformats.org/officeDocument/2006/relationships/hyperlink" Id="rId128" Target="https://doi.org/10.1016/j.watres.2010.08.051" TargetMode="External" /><Relationship Type="http://schemas.openxmlformats.org/officeDocument/2006/relationships/hyperlink" Id="rId122" Target="https://doi.org/10.1016/j.watres.2016.08.031" TargetMode="External" /><Relationship Type="http://schemas.openxmlformats.org/officeDocument/2006/relationships/hyperlink" Id="rId180" Target="https://doi.org/10.1021/es030360x" TargetMode="External" /><Relationship Type="http://schemas.openxmlformats.org/officeDocument/2006/relationships/hyperlink" Id="rId109" Target="https://doi.org/10.1021/es103992s" TargetMode="External" /><Relationship Type="http://schemas.openxmlformats.org/officeDocument/2006/relationships/hyperlink" Id="rId184" Target="https://doi.org/10.1029/2018GL080005" TargetMode="External" /><Relationship Type="http://schemas.openxmlformats.org/officeDocument/2006/relationships/hyperlink" Id="rId107" Target="https://doi.org/10.1111/ele.12897" TargetMode="External" /><Relationship Type="http://schemas.openxmlformats.org/officeDocument/2006/relationships/hyperlink" Id="rId174" Target="https://doi.org/10.1111/j.1365-2427.2011.02613.x" TargetMode="External" /><Relationship Type="http://schemas.openxmlformats.org/officeDocument/2006/relationships/hyperlink" Id="rId118" Target="https://doi.org/10.1139/cjfas-2014-0400" TargetMode="External" /><Relationship Type="http://schemas.openxmlformats.org/officeDocument/2006/relationships/hyperlink" Id="rId116" Target="https://doi.org/10.2166/aqua.2008.064" TargetMode="External" /><Relationship Type="http://schemas.openxmlformats.org/officeDocument/2006/relationships/hyperlink" Id="rId130" Target="https://doi.org/10.3133/fs06700" TargetMode="External" /><Relationship Type="http://schemas.openxmlformats.org/officeDocument/2006/relationships/hyperlink" Id="rId159" Target="https://doi.org/10.5194/bg-10-2315-2013" TargetMode="External" /><Relationship Type="http://schemas.openxmlformats.org/officeDocument/2006/relationships/hyperlink" Id="rId144" Target="https://doi.org/doi:10.1046/j.1365-2427.1997.d01-539.x" TargetMode="External" /><Relationship Type="http://schemas.openxmlformats.org/officeDocument/2006/relationships/hyperlink" Id="rId132" Target="https://www.canada.ca/content/dam/hc-sc/documents/programs/consultation-organic-matter-drinking-water/NOM20190129-eng.pdf" TargetMode="External" /><Relationship Type="http://schemas.openxmlformats.org/officeDocument/2006/relationships/hyperlink" Id="rId134" Target="https://www.canada.ca/en/health-canada/services/healthy-living/your-health/environment/drinking-water-chlorination.html" TargetMode="External" /><Relationship Type="http://schemas.openxmlformats.org/officeDocument/2006/relationships/hyperlink" Id="rId16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6" Target="https://www.healthlinkbc.ca/healthlinkbc-files/drinking-water-chlorination" TargetMode="External" /><Relationship Type="http://schemas.openxmlformats.org/officeDocument/2006/relationships/hyperlink" Id="rId154" Target="https://www.jstor.org/stable/1937326" TargetMode="External" /><Relationship Type="http://schemas.openxmlformats.org/officeDocument/2006/relationships/hyperlink" Id="rId170" Target="https://www.jstor.org/stable/24702986" TargetMode="External" /><Relationship Type="http://schemas.openxmlformats.org/officeDocument/2006/relationships/hyperlink" Id="rId138" Target="https://www.jstor.org/stable/40058211" TargetMode="External" /><Relationship Type="http://schemas.openxmlformats.org/officeDocument/2006/relationships/hyperlink" Id="rId113"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107</Pages>
  <Words>16639</Words>
  <Characters>94846</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111263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2020-06-19T04:13:17Z</dcterms:created>
  <dcterms:modified xsi:type="dcterms:W3CDTF">2020-06-19T04:13:17Z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